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587F" w14:textId="77777777" w:rsidR="004F5921" w:rsidRPr="00F470B6" w:rsidRDefault="007419EB" w:rsidP="00F470B6">
      <w:pPr>
        <w:jc w:val="center"/>
        <w:rPr>
          <w:b/>
        </w:rPr>
      </w:pPr>
      <w:r w:rsidRPr="00F470B6">
        <w:rPr>
          <w:b/>
        </w:rPr>
        <w:t>Health Room</w:t>
      </w:r>
    </w:p>
    <w:p w14:paraId="6348EAE8" w14:textId="1E6F2093" w:rsidR="007419EB" w:rsidRDefault="007419EB">
      <w:r>
        <w:t>The</w:t>
      </w:r>
      <w:r w:rsidR="44A08FE7">
        <w:t xml:space="preserve"> school</w:t>
      </w:r>
      <w:r>
        <w:t xml:space="preserve"> </w:t>
      </w:r>
      <w:r w:rsidR="48E51BF9">
        <w:t>health</w:t>
      </w:r>
      <w:r>
        <w:t xml:space="preserve"> </w:t>
      </w:r>
      <w:r w:rsidR="60B78C4F">
        <w:t>r</w:t>
      </w:r>
      <w:r>
        <w:t xml:space="preserve">oom is open </w:t>
      </w:r>
      <w:r w:rsidR="78DAB8F1">
        <w:t xml:space="preserve">to </w:t>
      </w:r>
      <w:r>
        <w:t>all student</w:t>
      </w:r>
      <w:r w:rsidR="6223E663">
        <w:t>s</w:t>
      </w:r>
      <w:r>
        <w:t xml:space="preserve"> during school day </w:t>
      </w:r>
      <w:r w:rsidR="7F7DB6E6">
        <w:t>hours and</w:t>
      </w:r>
      <w:r>
        <w:t xml:space="preserve"> is staffed by a </w:t>
      </w:r>
      <w:r w:rsidR="4304BF86">
        <w:t>R</w:t>
      </w:r>
      <w:r>
        <w:t xml:space="preserve">egistered </w:t>
      </w:r>
      <w:r w:rsidR="19884659">
        <w:t>N</w:t>
      </w:r>
      <w:r>
        <w:t xml:space="preserve">urse. </w:t>
      </w:r>
      <w:r w:rsidR="1FA1056C">
        <w:t>It is in the school's administrative area of each school building.</w:t>
      </w:r>
      <w:r w:rsidR="036A86FC">
        <w:t xml:space="preserve"> </w:t>
      </w:r>
      <w:r>
        <w:t xml:space="preserve">Services available may </w:t>
      </w:r>
      <w:r w:rsidR="23AFBCCD">
        <w:t>include</w:t>
      </w:r>
      <w:r>
        <w:t xml:space="preserve"> minimal physical assessment </w:t>
      </w:r>
      <w:r w:rsidR="1BFCC70B">
        <w:t>in</w:t>
      </w:r>
      <w:r>
        <w:t xml:space="preserve"> the event of acute illness, chronic and specialized health care maintenance, first aid, </w:t>
      </w:r>
      <w:r w:rsidR="13ADED27">
        <w:t xml:space="preserve">and </w:t>
      </w:r>
      <w:r>
        <w:t>information and education about health care issues of student interest.  ALL medications must go through the health room.</w:t>
      </w:r>
      <w:r w:rsidR="00E3108D">
        <w:t xml:space="preserve">  </w:t>
      </w:r>
      <w:r w:rsidR="00BB334D">
        <w:t xml:space="preserve">You will be notified by the school nurse if your child </w:t>
      </w:r>
      <w:r w:rsidR="00600509">
        <w:t>is ill or has an injury that requires further treatment or follow-up</w:t>
      </w:r>
      <w:r w:rsidR="00E3108D">
        <w:t xml:space="preserve">.  If you </w:t>
      </w:r>
      <w:r w:rsidR="7206AD62">
        <w:t>cannot</w:t>
      </w:r>
      <w:r w:rsidR="00E3108D">
        <w:t xml:space="preserve"> be reached</w:t>
      </w:r>
      <w:r w:rsidR="349BA6F4">
        <w:t xml:space="preserve">, </w:t>
      </w:r>
      <w:r w:rsidR="00E3108D">
        <w:t xml:space="preserve">the next emergency contact listed will be </w:t>
      </w:r>
      <w:r w:rsidR="2391046A">
        <w:t>called.</w:t>
      </w:r>
    </w:p>
    <w:p w14:paraId="7F68C043" w14:textId="77777777" w:rsidR="00A072FB" w:rsidRDefault="00A072FB" w:rsidP="00A072FB">
      <w:pPr>
        <w:jc w:val="center"/>
        <w:rPr>
          <w:b/>
        </w:rPr>
      </w:pPr>
      <w:r>
        <w:rPr>
          <w:b/>
        </w:rPr>
        <w:t>Health Information Form</w:t>
      </w:r>
    </w:p>
    <w:p w14:paraId="70A4BF73" w14:textId="257DF4F8" w:rsidR="00A072FB" w:rsidRPr="00A072FB" w:rsidRDefault="5B4B2115" w:rsidP="00A072FB">
      <w:r>
        <w:t>T</w:t>
      </w:r>
      <w:r w:rsidR="001A130C">
        <w:t xml:space="preserve">he health information form is completed by the parent </w:t>
      </w:r>
      <w:r w:rsidR="25460621">
        <w:t xml:space="preserve">or guardian </w:t>
      </w:r>
      <w:r w:rsidR="001A130C">
        <w:t xml:space="preserve">at the beginning of </w:t>
      </w:r>
      <w:r w:rsidR="00E3108D">
        <w:t>each</w:t>
      </w:r>
      <w:r w:rsidR="001A130C">
        <w:t xml:space="preserve"> school year.</w:t>
      </w:r>
      <w:r w:rsidR="5F6363E9">
        <w:t xml:space="preserve"> </w:t>
      </w:r>
      <w:r w:rsidR="001A130C">
        <w:t xml:space="preserve">This information is essential in helping the nurse prepare and take the best care of your child during the school day. Please note </w:t>
      </w:r>
      <w:r w:rsidR="1CA63BE4">
        <w:t>all</w:t>
      </w:r>
      <w:r w:rsidR="001A130C">
        <w:t xml:space="preserve"> your child’s health conditions on the form and return to</w:t>
      </w:r>
      <w:r w:rsidR="0B7C10E2">
        <w:t xml:space="preserve"> the</w:t>
      </w:r>
      <w:r w:rsidR="001A130C">
        <w:t xml:space="preserve"> school as soon as possible.</w:t>
      </w:r>
      <w:r w:rsidR="00F82AEF">
        <w:t xml:space="preserve"> </w:t>
      </w:r>
      <w:r w:rsidR="613BBE71">
        <w:t>Please notify the school nurse if your child has chronic health conditions for an individualized health care plan to be initiated.</w:t>
      </w:r>
      <w:r w:rsidR="00F82AEF">
        <w:t xml:space="preserve"> Physician documentation is required if a health plan is deemed necessary</w:t>
      </w:r>
      <w:r w:rsidR="03E5C0AE">
        <w:t xml:space="preserve"> </w:t>
      </w:r>
      <w:r w:rsidR="00A6052D">
        <w:t>(</w:t>
      </w:r>
      <w:hyperlink r:id="rId5">
        <w:r w:rsidR="00A6052D" w:rsidRPr="5C0D8BAA">
          <w:rPr>
            <w:rStyle w:val="Hyperlink"/>
          </w:rPr>
          <w:t>Diabetes</w:t>
        </w:r>
      </w:hyperlink>
      <w:r w:rsidR="00A6052D">
        <w:t>/</w:t>
      </w:r>
      <w:hyperlink r:id="rId6">
        <w:r w:rsidR="00A6052D" w:rsidRPr="5C0D8BAA">
          <w:rPr>
            <w:rStyle w:val="Hyperlink"/>
          </w:rPr>
          <w:t>Seizures</w:t>
        </w:r>
      </w:hyperlink>
      <w:r w:rsidR="00A6052D">
        <w:t>)</w:t>
      </w:r>
      <w:r w:rsidR="00F82AEF">
        <w:t>.</w:t>
      </w:r>
      <w:r w:rsidR="00E3108D">
        <w:t xml:space="preserve">  If your contact information on this form </w:t>
      </w:r>
      <w:r w:rsidR="28FD6FA4">
        <w:t>changes at any time</w:t>
      </w:r>
      <w:r w:rsidR="00E3108D">
        <w:t xml:space="preserve"> during the school year, please update </w:t>
      </w:r>
      <w:r w:rsidR="1CA511C9">
        <w:t>the school front office staff</w:t>
      </w:r>
      <w:r w:rsidR="00E3108D">
        <w:t xml:space="preserve"> as soon as possible.  </w:t>
      </w:r>
    </w:p>
    <w:p w14:paraId="7B519B61" w14:textId="77777777" w:rsidR="007419EB" w:rsidRPr="00F470B6" w:rsidRDefault="007419EB" w:rsidP="00F470B6">
      <w:pPr>
        <w:jc w:val="center"/>
        <w:rPr>
          <w:b/>
        </w:rPr>
      </w:pPr>
      <w:r w:rsidRPr="00F470B6">
        <w:rPr>
          <w:b/>
        </w:rPr>
        <w:t>Student Medications during the school day</w:t>
      </w:r>
    </w:p>
    <w:p w14:paraId="04C2DB24" w14:textId="14CA8967" w:rsidR="007419EB" w:rsidRDefault="254D0EDD">
      <w:r>
        <w:t>T</w:t>
      </w:r>
      <w:r w:rsidR="007419EB">
        <w:t xml:space="preserve">o ensure the health and well-being of all students, please </w:t>
      </w:r>
      <w:r w:rsidR="48FD4303">
        <w:t xml:space="preserve">read the </w:t>
      </w:r>
      <w:r w:rsidR="7D6826FE">
        <w:t>‘</w:t>
      </w:r>
      <w:hyperlink r:id="rId7">
        <w:r w:rsidR="00151249" w:rsidRPr="5C0D8BAA">
          <w:rPr>
            <w:rStyle w:val="Hyperlink"/>
          </w:rPr>
          <w:t>ACS</w:t>
        </w:r>
        <w:r w:rsidR="007419EB" w:rsidRPr="5C0D8BAA">
          <w:rPr>
            <w:rStyle w:val="Hyperlink"/>
          </w:rPr>
          <w:t xml:space="preserve"> policy on administering </w:t>
        </w:r>
        <w:r w:rsidR="00151249" w:rsidRPr="5C0D8BAA">
          <w:rPr>
            <w:rStyle w:val="Hyperlink"/>
          </w:rPr>
          <w:t>medications</w:t>
        </w:r>
        <w:r w:rsidR="36A03CD9" w:rsidRPr="5C0D8BAA">
          <w:rPr>
            <w:rStyle w:val="Hyperlink"/>
          </w:rPr>
          <w:t>’</w:t>
        </w:r>
      </w:hyperlink>
      <w:r w:rsidR="007419EB">
        <w:t xml:space="preserve"> to students by school personnel.  If your child requires any medication during</w:t>
      </w:r>
      <w:r w:rsidR="47A50632">
        <w:t xml:space="preserve"> </w:t>
      </w:r>
      <w:r w:rsidR="007419EB">
        <w:t>the school day</w:t>
      </w:r>
      <w:r w:rsidR="00151249">
        <w:t xml:space="preserve"> (including over-the-counter medic</w:t>
      </w:r>
      <w:r w:rsidR="6BE40443">
        <w:t>ation</w:t>
      </w:r>
      <w:r w:rsidR="00151249">
        <w:t>) you m</w:t>
      </w:r>
      <w:r w:rsidR="4227E3F5">
        <w:t xml:space="preserve">ay do </w:t>
      </w:r>
      <w:r w:rsidR="1273F5ED">
        <w:t xml:space="preserve">one </w:t>
      </w:r>
      <w:r w:rsidR="4227E3F5">
        <w:t>of</w:t>
      </w:r>
      <w:r w:rsidR="00151249">
        <w:t xml:space="preserve"> the following:</w:t>
      </w:r>
    </w:p>
    <w:p w14:paraId="425DB424" w14:textId="54DEE0B8" w:rsidR="00151249" w:rsidRDefault="00151249" w:rsidP="00F470B6">
      <w:pPr>
        <w:ind w:left="450" w:hanging="180"/>
      </w:pPr>
      <w:r>
        <w:t xml:space="preserve">1. You </w:t>
      </w:r>
      <w:r w:rsidR="008B0B26">
        <w:t xml:space="preserve">or </w:t>
      </w:r>
      <w:r w:rsidR="008B0B26">
        <w:t xml:space="preserve">a designee </w:t>
      </w:r>
      <w:r>
        <w:t>may come to your child’s school and administer the medication</w:t>
      </w:r>
      <w:r w:rsidR="501E41C0">
        <w:t xml:space="preserve"> yourself</w:t>
      </w:r>
      <w:r>
        <w:t xml:space="preserve"> </w:t>
      </w:r>
      <w:r w:rsidR="008B0B26">
        <w:t>t</w:t>
      </w:r>
      <w:r>
        <w:t>o your child at the appropriate time.</w:t>
      </w:r>
    </w:p>
    <w:p w14:paraId="3D386EFF" w14:textId="3E6D5835" w:rsidR="00F470B6" w:rsidRDefault="00151249" w:rsidP="00F470B6">
      <w:pPr>
        <w:spacing w:after="0"/>
        <w:ind w:left="270" w:hanging="90"/>
      </w:pPr>
      <w:r>
        <w:tab/>
        <w:t xml:space="preserve">2.  </w:t>
      </w:r>
      <w:r w:rsidR="5A35A71F">
        <w:t xml:space="preserve">OR, </w:t>
      </w:r>
      <w:r>
        <w:t>If the medication is needed daily at school and you are unable to</w:t>
      </w:r>
      <w:r w:rsidR="53CF10BB">
        <w:t xml:space="preserve"> physically </w:t>
      </w:r>
      <w:r w:rsidR="7700E13C">
        <w:t xml:space="preserve">come and </w:t>
      </w:r>
      <w:r>
        <w:tab/>
      </w:r>
      <w:r>
        <w:tab/>
      </w:r>
      <w:r w:rsidR="2317D8FE">
        <w:t xml:space="preserve"> </w:t>
      </w:r>
      <w:r w:rsidR="53CF10BB">
        <w:t xml:space="preserve">administer your child’s medication </w:t>
      </w:r>
      <w:r w:rsidR="033D1FF6">
        <w:t>yourself,</w:t>
      </w:r>
    </w:p>
    <w:p w14:paraId="397FDF10" w14:textId="6155A627" w:rsidR="00151249" w:rsidRDefault="00151249" w:rsidP="5C0D8BAA">
      <w:pPr>
        <w:spacing w:after="0"/>
        <w:ind w:firstLine="540"/>
      </w:pPr>
      <w:r>
        <w:t xml:space="preserve">a. </w:t>
      </w:r>
      <w:r w:rsidR="1925B0ED">
        <w:t>You</w:t>
      </w:r>
      <w:r>
        <w:t xml:space="preserve"> m</w:t>
      </w:r>
      <w:r w:rsidR="285054BB">
        <w:t>ust</w:t>
      </w:r>
      <w:r>
        <w:t xml:space="preserve"> obtain a </w:t>
      </w:r>
      <w:r w:rsidR="1E7E347D">
        <w:t>‘</w:t>
      </w:r>
      <w:hyperlink r:id="rId8">
        <w:r w:rsidRPr="5C0D8BAA">
          <w:rPr>
            <w:rStyle w:val="Hyperlink"/>
            <w:i/>
            <w:iCs/>
          </w:rPr>
          <w:t>Parent Consent/Physician Consent Form</w:t>
        </w:r>
        <w:r w:rsidR="533861E9" w:rsidRPr="5C0D8BAA">
          <w:rPr>
            <w:rStyle w:val="Hyperlink"/>
            <w:i/>
            <w:iCs/>
          </w:rPr>
          <w:t>’</w:t>
        </w:r>
      </w:hyperlink>
      <w:r>
        <w:t xml:space="preserve"> from the school. This form must </w:t>
      </w:r>
      <w:r w:rsidR="00A16E68">
        <w:tab/>
      </w:r>
      <w:r>
        <w:t xml:space="preserve">be completed and signed by your child’s Primary Care Provider indicating medication, dose, time </w:t>
      </w:r>
      <w:r w:rsidR="00A16E68">
        <w:tab/>
      </w:r>
      <w:r>
        <w:t xml:space="preserve">to be given and </w:t>
      </w:r>
      <w:r w:rsidR="2AB87850">
        <w:t xml:space="preserve">any potential </w:t>
      </w:r>
      <w:r>
        <w:t xml:space="preserve">side effects.  </w:t>
      </w:r>
      <w:r w:rsidR="00A16E68">
        <w:t xml:space="preserve">Any change </w:t>
      </w:r>
      <w:r w:rsidR="38CBDE25">
        <w:t>to the</w:t>
      </w:r>
      <w:r w:rsidR="00A16E68">
        <w:t xml:space="preserve"> prescription </w:t>
      </w:r>
      <w:r w:rsidR="037055B7">
        <w:t xml:space="preserve">requires </w:t>
      </w:r>
      <w:r w:rsidR="00A16E68">
        <w:tab/>
      </w:r>
      <w:r w:rsidR="00A16E68">
        <w:tab/>
      </w:r>
      <w:r w:rsidR="037055B7">
        <w:t>a</w:t>
      </w:r>
      <w:r w:rsidR="00A16E68">
        <w:t xml:space="preserve"> new Physician </w:t>
      </w:r>
      <w:r w:rsidR="7B1BC72D">
        <w:t>C</w:t>
      </w:r>
      <w:r w:rsidR="00A16E68">
        <w:t>onsent form.</w:t>
      </w:r>
    </w:p>
    <w:p w14:paraId="5BAC1254" w14:textId="668A6085" w:rsidR="5C0D8BAA" w:rsidRDefault="5C0D8BAA" w:rsidP="5C0D8BAA">
      <w:pPr>
        <w:spacing w:after="0"/>
        <w:ind w:firstLine="540"/>
      </w:pPr>
    </w:p>
    <w:p w14:paraId="1FA5C2C4" w14:textId="41AEF5B8" w:rsidR="00A6052D" w:rsidRDefault="00151249" w:rsidP="5C0D8BAA">
      <w:pPr>
        <w:spacing w:after="0"/>
        <w:ind w:firstLine="540"/>
      </w:pPr>
      <w:r>
        <w:t xml:space="preserve">b. </w:t>
      </w:r>
      <w:r w:rsidR="00A16E68" w:rsidRPr="5C0D8BAA">
        <w:rPr>
          <w:u w:val="single"/>
        </w:rPr>
        <w:t>All medication</w:t>
      </w:r>
      <w:r w:rsidR="0F691D09" w:rsidRPr="5C0D8BAA">
        <w:rPr>
          <w:u w:val="single"/>
        </w:rPr>
        <w:t>(s)</w:t>
      </w:r>
      <w:r w:rsidR="00A16E68">
        <w:t xml:space="preserve"> must be in the original, pharmacy-labeled prescription bottle or in the</w:t>
      </w:r>
      <w:r w:rsidR="00A16E68">
        <w:tab/>
      </w:r>
      <w:r w:rsidR="00A16E68">
        <w:tab/>
      </w:r>
      <w:r w:rsidR="572ACE3B">
        <w:t>o</w:t>
      </w:r>
      <w:r w:rsidR="00A16E68">
        <w:t>riginal</w:t>
      </w:r>
      <w:r w:rsidR="255E0512">
        <w:t>,</w:t>
      </w:r>
      <w:r w:rsidR="00A16E68">
        <w:t xml:space="preserve"> unopened manufacturer’s (</w:t>
      </w:r>
      <w:r w:rsidR="7DE41F52">
        <w:t>over the counter</w:t>
      </w:r>
      <w:r w:rsidR="00A16E68">
        <w:t>) container</w:t>
      </w:r>
      <w:r>
        <w:t xml:space="preserve"> and signed</w:t>
      </w:r>
      <w:r w:rsidR="0525BE60">
        <w:t>-</w:t>
      </w:r>
      <w:r>
        <w:t xml:space="preserve">in with the school </w:t>
      </w:r>
    </w:p>
    <w:p w14:paraId="352DA4F5" w14:textId="77777777" w:rsidR="00A6052D" w:rsidRDefault="00151249" w:rsidP="00A6052D">
      <w:pPr>
        <w:spacing w:after="0"/>
        <w:ind w:firstLine="720"/>
      </w:pPr>
      <w:r>
        <w:t>nurse</w:t>
      </w:r>
      <w:r w:rsidR="00A16E68">
        <w:t>/</w:t>
      </w:r>
      <w:r w:rsidR="00470DDE">
        <w:t>designee</w:t>
      </w:r>
      <w:r w:rsidR="00A16E68">
        <w:t xml:space="preserve"> during regular school hours</w:t>
      </w:r>
      <w:r>
        <w:t>.</w:t>
      </w:r>
      <w:r w:rsidR="00A16E68">
        <w:t xml:space="preserve">  The medication will be counted/measured and </w:t>
      </w:r>
    </w:p>
    <w:p w14:paraId="331E16FB" w14:textId="645FF879" w:rsidR="00A6052D" w:rsidRDefault="00A16E68" w:rsidP="00A6052D">
      <w:pPr>
        <w:spacing w:after="0"/>
        <w:ind w:firstLine="720"/>
      </w:pPr>
      <w:r>
        <w:t>documented on the medication check-in/check-out log.</w:t>
      </w:r>
      <w:r w:rsidR="00470DDE">
        <w:t xml:space="preserve">  If other arrangement</w:t>
      </w:r>
      <w:r w:rsidR="1EEC7F6E">
        <w:t>s</w:t>
      </w:r>
      <w:r w:rsidR="00470DDE">
        <w:t xml:space="preserve"> for transporting </w:t>
      </w:r>
    </w:p>
    <w:p w14:paraId="24647C11" w14:textId="77777777" w:rsidR="00A6052D" w:rsidRDefault="00470DDE" w:rsidP="00A6052D">
      <w:pPr>
        <w:spacing w:after="0"/>
        <w:ind w:firstLine="720"/>
      </w:pPr>
      <w:r>
        <w:t xml:space="preserve">medication must be made, they must be approved in advance by the school nurse and the </w:t>
      </w:r>
    </w:p>
    <w:p w14:paraId="3DF86CB2" w14:textId="77777777" w:rsidR="00151249" w:rsidRDefault="00470DDE" w:rsidP="00A6052D">
      <w:pPr>
        <w:spacing w:after="0"/>
        <w:ind w:firstLine="720"/>
      </w:pPr>
      <w:r>
        <w:t xml:space="preserve">principal. </w:t>
      </w:r>
    </w:p>
    <w:p w14:paraId="7E6EBE4E" w14:textId="35D0A7C7" w:rsidR="00A16E68" w:rsidRPr="00A16E68" w:rsidRDefault="00A16E68" w:rsidP="00A16E68">
      <w:pPr>
        <w:spacing w:after="0"/>
        <w:ind w:firstLine="540"/>
        <w:jc w:val="center"/>
        <w:rPr>
          <w:b/>
          <w:highlight w:val="yellow"/>
        </w:rPr>
      </w:pPr>
      <w:r w:rsidRPr="00A16E68">
        <w:rPr>
          <w:b/>
          <w:highlight w:val="yellow"/>
        </w:rPr>
        <w:t>***TEACHERS CANNOT ACCEPT MEDICA</w:t>
      </w:r>
      <w:r w:rsidR="00443F4E">
        <w:rPr>
          <w:b/>
          <w:highlight w:val="yellow"/>
        </w:rPr>
        <w:t>TI</w:t>
      </w:r>
      <w:r w:rsidRPr="00A16E68">
        <w:rPr>
          <w:b/>
          <w:highlight w:val="yellow"/>
        </w:rPr>
        <w:t>ONS***</w:t>
      </w:r>
    </w:p>
    <w:p w14:paraId="7987A7C6" w14:textId="77777777" w:rsidR="00A16E68" w:rsidRDefault="00A16E68" w:rsidP="00A16E68">
      <w:pPr>
        <w:spacing w:after="0"/>
        <w:ind w:firstLine="540"/>
        <w:jc w:val="center"/>
        <w:rPr>
          <w:b/>
          <w:highlight w:val="yellow"/>
        </w:rPr>
      </w:pPr>
      <w:r w:rsidRPr="00A16E68">
        <w:rPr>
          <w:b/>
          <w:highlight w:val="yellow"/>
        </w:rPr>
        <w:t>***DO NOT SEND MEDICATIONS WITH THE STUDENT TO SCHOOL****</w:t>
      </w:r>
    </w:p>
    <w:p w14:paraId="643C576E" w14:textId="77777777" w:rsidR="00470DDE" w:rsidRPr="00A16E68" w:rsidRDefault="00470DDE" w:rsidP="00470DDE">
      <w:pPr>
        <w:spacing w:after="0"/>
        <w:ind w:right="-900" w:hanging="1080"/>
        <w:jc w:val="center"/>
        <w:rPr>
          <w:b/>
        </w:rPr>
      </w:pPr>
      <w:r w:rsidRPr="5C0D8BAA">
        <w:rPr>
          <w:b/>
          <w:bCs/>
          <w:highlight w:val="yellow"/>
        </w:rPr>
        <w:t>***MEDICATIONS WILL NOT BE ACCEPTED UNLESS IT IS IN THE ORGINIAL CONTAINER AND PROPERLY LABELED***</w:t>
      </w:r>
    </w:p>
    <w:p w14:paraId="171AED60" w14:textId="68249FE8" w:rsidR="5C0D8BAA" w:rsidRDefault="5C0D8BAA" w:rsidP="5C0D8BAA">
      <w:pPr>
        <w:spacing w:after="0"/>
        <w:ind w:right="-900" w:hanging="1080"/>
        <w:jc w:val="center"/>
        <w:rPr>
          <w:b/>
          <w:bCs/>
          <w:highlight w:val="yellow"/>
        </w:rPr>
      </w:pPr>
    </w:p>
    <w:p w14:paraId="79F30494" w14:textId="07518F58" w:rsidR="00A6052D" w:rsidRDefault="00A16E68" w:rsidP="00A16E68">
      <w:pPr>
        <w:spacing w:after="0"/>
        <w:ind w:firstLine="540"/>
      </w:pPr>
      <w:r>
        <w:t>c.  No self-carry medication</w:t>
      </w:r>
      <w:r w:rsidR="4E1C3B54">
        <w:t>s</w:t>
      </w:r>
      <w:r>
        <w:t xml:space="preserve"> will be permitted, </w:t>
      </w:r>
      <w:r w:rsidR="461F0BBF">
        <w:t>apart from</w:t>
      </w:r>
      <w:r>
        <w:t xml:space="preserve"> emergency medication</w:t>
      </w:r>
      <w:r w:rsidR="3E22F611">
        <w:t>s</w:t>
      </w:r>
      <w:r>
        <w:t xml:space="preserve"> </w:t>
      </w:r>
    </w:p>
    <w:p w14:paraId="7B039800" w14:textId="77777777" w:rsidR="00A6052D" w:rsidRDefault="00A16E68" w:rsidP="00A6052D">
      <w:pPr>
        <w:spacing w:after="0"/>
        <w:ind w:firstLine="720"/>
      </w:pPr>
      <w:r>
        <w:t xml:space="preserve">(rescue inhalers, epi-pen, diabetic emergency medication, seizure emergency medication).  </w:t>
      </w:r>
    </w:p>
    <w:p w14:paraId="7FBB8CF2" w14:textId="52CC1E05" w:rsidR="00A16E68" w:rsidRDefault="00A16E68" w:rsidP="00A6052D">
      <w:pPr>
        <w:spacing w:after="0"/>
        <w:ind w:firstLine="720"/>
      </w:pPr>
      <w:r>
        <w:t xml:space="preserve">Emergency medication will be kept with the individual student based on </w:t>
      </w:r>
      <w:r w:rsidR="47B5A4F0">
        <w:t xml:space="preserve">his/her </w:t>
      </w:r>
      <w:r>
        <w:t>ability to self-</w:t>
      </w:r>
      <w:r>
        <w:tab/>
        <w:t xml:space="preserve">carry and </w:t>
      </w:r>
      <w:r w:rsidR="2A427F48">
        <w:t>his/her</w:t>
      </w:r>
      <w:r w:rsidR="17768D2B">
        <w:t xml:space="preserve"> </w:t>
      </w:r>
      <w:r>
        <w:t>know</w:t>
      </w:r>
      <w:r w:rsidR="448D0F30">
        <w:t xml:space="preserve">ledge of </w:t>
      </w:r>
      <w:r w:rsidR="53FCAE1E">
        <w:t xml:space="preserve">their </w:t>
      </w:r>
      <w:r>
        <w:t>medical condition.</w:t>
      </w:r>
      <w:r w:rsidR="02746757">
        <w:t xml:space="preserve"> Otherwise, it will be kept with their </w:t>
      </w:r>
      <w:r>
        <w:tab/>
      </w:r>
      <w:r w:rsidR="02746757">
        <w:t>teacher.</w:t>
      </w:r>
    </w:p>
    <w:p w14:paraId="591B2E20" w14:textId="77777777" w:rsidR="00C5136E" w:rsidRDefault="00C5136E" w:rsidP="00470DDE">
      <w:pPr>
        <w:spacing w:after="0"/>
        <w:ind w:firstLine="540"/>
        <w:jc w:val="center"/>
        <w:rPr>
          <w:b/>
        </w:rPr>
      </w:pPr>
    </w:p>
    <w:p w14:paraId="02C5788A" w14:textId="77777777" w:rsidR="00470DDE" w:rsidRDefault="00470DDE" w:rsidP="00470DDE">
      <w:pPr>
        <w:spacing w:after="0"/>
        <w:ind w:firstLine="540"/>
        <w:jc w:val="center"/>
        <w:rPr>
          <w:b/>
        </w:rPr>
      </w:pPr>
      <w:r w:rsidRPr="5C0D8BAA">
        <w:rPr>
          <w:b/>
          <w:bCs/>
        </w:rPr>
        <w:t>Health Room Rules</w:t>
      </w:r>
    </w:p>
    <w:p w14:paraId="4402AE91" w14:textId="7EF644F5" w:rsidR="5C0D8BAA" w:rsidRDefault="5C0D8BAA" w:rsidP="5C0D8BAA">
      <w:pPr>
        <w:spacing w:after="0"/>
        <w:ind w:firstLine="540"/>
        <w:jc w:val="center"/>
        <w:rPr>
          <w:b/>
          <w:bCs/>
        </w:rPr>
      </w:pPr>
    </w:p>
    <w:p w14:paraId="6CAE03B9" w14:textId="75D2129A" w:rsidR="00C5136E" w:rsidRDefault="00470DDE" w:rsidP="00470DDE">
      <w:pPr>
        <w:spacing w:after="0"/>
        <w:ind w:firstLine="540"/>
      </w:pPr>
      <w:r>
        <w:t>1.  In the even</w:t>
      </w:r>
      <w:r w:rsidR="38407BA5">
        <w:t>t</w:t>
      </w:r>
      <w:r>
        <w:t xml:space="preserve"> of acute illness while </w:t>
      </w:r>
      <w:r w:rsidR="2FA0B168">
        <w:t>at school</w:t>
      </w:r>
      <w:r>
        <w:t xml:space="preserve">, students may rest in the </w:t>
      </w:r>
      <w:r w:rsidR="7E344696">
        <w:t>health</w:t>
      </w:r>
      <w:r>
        <w:t xml:space="preserve"> </w:t>
      </w:r>
      <w:r w:rsidR="2C513F4B">
        <w:t>r</w:t>
      </w:r>
      <w:r>
        <w:t xml:space="preserve">oom </w:t>
      </w:r>
    </w:p>
    <w:p w14:paraId="2CD9BF65" w14:textId="037247FC" w:rsidR="00470DDE" w:rsidRDefault="00C5136E" w:rsidP="00C5136E">
      <w:pPr>
        <w:spacing w:after="0"/>
        <w:ind w:firstLine="720"/>
      </w:pPr>
      <w:r>
        <w:t xml:space="preserve">  </w:t>
      </w:r>
      <w:r w:rsidR="00470DDE">
        <w:t>for a maximum of 30 minutes and then return to class</w:t>
      </w:r>
      <w:r w:rsidR="04BD23C5">
        <w:t>, if appropriate.</w:t>
      </w:r>
      <w:r w:rsidR="00470DDE">
        <w:t xml:space="preserve">  The nurse will make any </w:t>
      </w:r>
      <w:r>
        <w:tab/>
      </w:r>
      <w:r w:rsidR="00470DDE">
        <w:t>necessary</w:t>
      </w:r>
      <w:r>
        <w:t xml:space="preserve"> </w:t>
      </w:r>
      <w:r w:rsidR="00470DDE">
        <w:t xml:space="preserve">parent contacts.  If the nurse determines a student cannot remain at school, that </w:t>
      </w:r>
      <w:r>
        <w:tab/>
      </w:r>
      <w:r w:rsidR="00470DDE">
        <w:t>student must be picked up from school within 30 minutes of notification.</w:t>
      </w:r>
      <w:r w:rsidR="00E3108D">
        <w:t xml:space="preserve">  </w:t>
      </w:r>
    </w:p>
    <w:p w14:paraId="7FCB13D0" w14:textId="7178497E" w:rsidR="00470DDE" w:rsidRDefault="00470DDE" w:rsidP="5C0D8BAA">
      <w:pPr>
        <w:spacing w:after="0"/>
        <w:ind w:firstLine="540"/>
        <w:rPr>
          <w:highlight w:val="cyan"/>
        </w:rPr>
      </w:pPr>
      <w:r>
        <w:t>2. Communication between the nurse and student is confidential</w:t>
      </w:r>
      <w:r w:rsidR="3AF6B142">
        <w:t>. However,</w:t>
      </w:r>
      <w:r w:rsidR="00A6052D" w:rsidRPr="5C0D8BAA">
        <w:rPr>
          <w:highlight w:val="cyan"/>
        </w:rPr>
        <w:t xml:space="preserve"> </w:t>
      </w:r>
      <w:r w:rsidR="74C38085" w:rsidRPr="5C0D8BAA">
        <w:rPr>
          <w:highlight w:val="cyan"/>
        </w:rPr>
        <w:t>if a student</w:t>
      </w:r>
      <w:r w:rsidR="00A6052D" w:rsidRPr="5C0D8BAA">
        <w:rPr>
          <w:highlight w:val="cyan"/>
        </w:rPr>
        <w:t xml:space="preserve"> </w:t>
      </w:r>
      <w:r w:rsidR="00C5136E">
        <w:tab/>
      </w:r>
      <w:r w:rsidR="00C5136E">
        <w:tab/>
      </w:r>
      <w:r w:rsidR="00A6052D" w:rsidRPr="5C0D8BAA">
        <w:rPr>
          <w:highlight w:val="cyan"/>
        </w:rPr>
        <w:t xml:space="preserve">mentions </w:t>
      </w:r>
      <w:r w:rsidR="7C4192FD" w:rsidRPr="5C0D8BAA">
        <w:rPr>
          <w:highlight w:val="cyan"/>
        </w:rPr>
        <w:t>being harmed by another person</w:t>
      </w:r>
      <w:r w:rsidR="33E5677B" w:rsidRPr="5C0D8BAA">
        <w:rPr>
          <w:highlight w:val="cyan"/>
        </w:rPr>
        <w:t>,</w:t>
      </w:r>
      <w:r w:rsidR="7C4192FD" w:rsidRPr="5C0D8BAA">
        <w:rPr>
          <w:highlight w:val="cyan"/>
        </w:rPr>
        <w:t xml:space="preserve"> </w:t>
      </w:r>
      <w:r w:rsidR="00A6052D" w:rsidRPr="5C0D8BAA">
        <w:rPr>
          <w:highlight w:val="cyan"/>
        </w:rPr>
        <w:t>wanting to h</w:t>
      </w:r>
      <w:r w:rsidR="0F839C2E" w:rsidRPr="5C0D8BAA">
        <w:rPr>
          <w:highlight w:val="cyan"/>
        </w:rPr>
        <w:t>arm</w:t>
      </w:r>
      <w:r w:rsidR="00A6052D" w:rsidRPr="5C0D8BAA">
        <w:rPr>
          <w:highlight w:val="cyan"/>
        </w:rPr>
        <w:t xml:space="preserve"> </w:t>
      </w:r>
      <w:r w:rsidR="5391C0FC" w:rsidRPr="5C0D8BAA">
        <w:rPr>
          <w:highlight w:val="cyan"/>
        </w:rPr>
        <w:t>his or herself</w:t>
      </w:r>
      <w:r w:rsidR="00A6052D" w:rsidRPr="5C0D8BAA">
        <w:rPr>
          <w:highlight w:val="cyan"/>
        </w:rPr>
        <w:t xml:space="preserve">, </w:t>
      </w:r>
      <w:r w:rsidR="6173BE58" w:rsidRPr="5C0D8BAA">
        <w:rPr>
          <w:highlight w:val="cyan"/>
        </w:rPr>
        <w:t xml:space="preserve">or wanting to harm </w:t>
      </w:r>
      <w:r w:rsidR="00C5136E">
        <w:tab/>
      </w:r>
      <w:r w:rsidR="6173BE58" w:rsidRPr="5C0D8BAA">
        <w:rPr>
          <w:highlight w:val="cyan"/>
        </w:rPr>
        <w:t xml:space="preserve">another </w:t>
      </w:r>
      <w:r w:rsidR="7CD8F7AF" w:rsidRPr="5C0D8BAA">
        <w:rPr>
          <w:highlight w:val="cyan"/>
        </w:rPr>
        <w:t>person,</w:t>
      </w:r>
      <w:r w:rsidR="6173BE58" w:rsidRPr="5C0D8BAA">
        <w:rPr>
          <w:highlight w:val="cyan"/>
        </w:rPr>
        <w:t xml:space="preserve"> that information is required to be reported. A student may also give permission </w:t>
      </w:r>
      <w:r w:rsidR="00C5136E">
        <w:tab/>
      </w:r>
      <w:r w:rsidR="6173BE58" w:rsidRPr="5C0D8BAA">
        <w:rPr>
          <w:highlight w:val="cyan"/>
        </w:rPr>
        <w:t>for information discussed to be shared with other school personnel</w:t>
      </w:r>
      <w:r w:rsidR="4A832E15" w:rsidRPr="5C0D8BAA">
        <w:rPr>
          <w:highlight w:val="cyan"/>
        </w:rPr>
        <w:t>.</w:t>
      </w:r>
    </w:p>
    <w:p w14:paraId="2CC40F78" w14:textId="0EFF8F65" w:rsidR="00470DDE" w:rsidRDefault="00470DDE" w:rsidP="00470DDE">
      <w:pPr>
        <w:spacing w:after="0"/>
        <w:ind w:firstLine="540"/>
      </w:pPr>
      <w:r>
        <w:t>3. The Health Room telephone is for staff use only</w:t>
      </w:r>
      <w:r w:rsidR="01B83DFC">
        <w:t>.</w:t>
      </w:r>
    </w:p>
    <w:p w14:paraId="1DC6A973" w14:textId="3E12A1CC" w:rsidR="00470DDE" w:rsidRDefault="00470DDE" w:rsidP="5C0D8BAA">
      <w:pPr>
        <w:spacing w:after="0"/>
        <w:ind w:firstLine="540"/>
      </w:pPr>
      <w:r>
        <w:t xml:space="preserve">4. When the Health Room nurse/designee is </w:t>
      </w:r>
      <w:r w:rsidR="001022DD">
        <w:t>n</w:t>
      </w:r>
      <w:r>
        <w:t xml:space="preserve">ot present, students should not enter or stay in the </w:t>
      </w:r>
      <w:r w:rsidR="00C5136E">
        <w:t xml:space="preserve"> </w:t>
      </w:r>
      <w:r w:rsidR="00C5136E">
        <w:tab/>
      </w:r>
      <w:r>
        <w:t xml:space="preserve">Health Room unattended and should ask school </w:t>
      </w:r>
      <w:r w:rsidR="001022DD">
        <w:t>administrative staff for assistance.</w:t>
      </w:r>
    </w:p>
    <w:p w14:paraId="695F5A8B" w14:textId="77777777" w:rsidR="001022DD" w:rsidRPr="00C5136E" w:rsidRDefault="001022DD" w:rsidP="00C5136E">
      <w:pPr>
        <w:spacing w:after="0" w:line="240" w:lineRule="auto"/>
        <w:ind w:firstLine="540"/>
        <w:rPr>
          <w:sz w:val="8"/>
          <w:szCs w:val="8"/>
        </w:rPr>
      </w:pPr>
    </w:p>
    <w:p w14:paraId="0A21886D" w14:textId="77777777" w:rsidR="001022DD" w:rsidRPr="00C5136E" w:rsidRDefault="001022DD" w:rsidP="00C5136E">
      <w:pPr>
        <w:spacing w:after="0" w:line="240" w:lineRule="auto"/>
        <w:ind w:firstLine="540"/>
        <w:rPr>
          <w:sz w:val="8"/>
          <w:szCs w:val="8"/>
        </w:rPr>
      </w:pPr>
    </w:p>
    <w:p w14:paraId="437B6FBA" w14:textId="77777777" w:rsidR="001022DD" w:rsidRDefault="001022DD" w:rsidP="001022DD">
      <w:pPr>
        <w:spacing w:after="0"/>
        <w:ind w:firstLine="540"/>
        <w:jc w:val="center"/>
        <w:rPr>
          <w:b/>
        </w:rPr>
      </w:pPr>
      <w:r>
        <w:rPr>
          <w:b/>
        </w:rPr>
        <w:t>Immunizations</w:t>
      </w:r>
    </w:p>
    <w:p w14:paraId="7179F9E6" w14:textId="62F5DF1A" w:rsidR="001022DD" w:rsidRDefault="00EE0497" w:rsidP="001022DD">
      <w:pPr>
        <w:spacing w:after="0"/>
        <w:ind w:firstLine="540"/>
      </w:pPr>
      <w:hyperlink r:id="rId9">
        <w:r w:rsidR="001022DD" w:rsidRPr="5C0D8BAA">
          <w:rPr>
            <w:rStyle w:val="Hyperlink"/>
          </w:rPr>
          <w:t>NC Law</w:t>
        </w:r>
      </w:hyperlink>
      <w:r w:rsidR="001022DD">
        <w:t xml:space="preserve"> requires all students in grades K-12 to have a complete</w:t>
      </w:r>
      <w:r w:rsidR="165BA14C">
        <w:t>d</w:t>
      </w:r>
      <w:r w:rsidR="001022DD">
        <w:t xml:space="preserve"> immunization record or </w:t>
      </w:r>
      <w:r w:rsidR="4A9B3ABD">
        <w:t xml:space="preserve">medical/religious </w:t>
      </w:r>
      <w:r w:rsidR="001022DD">
        <w:t xml:space="preserve">exemption on file. </w:t>
      </w:r>
      <w:r w:rsidR="4B6DC174">
        <w:t>T</w:t>
      </w:r>
      <w:r w:rsidR="001022DD">
        <w:t xml:space="preserve">he completed immunization </w:t>
      </w:r>
      <w:r w:rsidR="6FFFE117">
        <w:t xml:space="preserve">record must be </w:t>
      </w:r>
      <w:r w:rsidR="1568A680">
        <w:t>turned in</w:t>
      </w:r>
      <w:r w:rsidR="001022DD">
        <w:t>to</w:t>
      </w:r>
      <w:r w:rsidR="23BAB804">
        <w:t xml:space="preserve"> the</w:t>
      </w:r>
      <w:r w:rsidR="001022DD">
        <w:t xml:space="preserve"> school within </w:t>
      </w:r>
      <w:bookmarkStart w:id="0" w:name="_Int_2dnuIQ1j"/>
      <w:r w:rsidR="001022DD">
        <w:t>30 days</w:t>
      </w:r>
      <w:bookmarkEnd w:id="0"/>
      <w:r w:rsidR="001022DD">
        <w:t xml:space="preserve"> of </w:t>
      </w:r>
      <w:r w:rsidR="12729C59">
        <w:t>entering a</w:t>
      </w:r>
      <w:r w:rsidR="001022DD">
        <w:t xml:space="preserve"> NC</w:t>
      </w:r>
      <w:r w:rsidR="56ACC3FE">
        <w:t xml:space="preserve"> public</w:t>
      </w:r>
      <w:r w:rsidR="001022DD">
        <w:t xml:space="preserve"> school for the first time.  A “</w:t>
      </w:r>
      <w:r w:rsidR="7DAE3105">
        <w:t>R</w:t>
      </w:r>
      <w:r w:rsidR="001022DD">
        <w:t xml:space="preserve">equest for School Health Record Information” </w:t>
      </w:r>
      <w:r w:rsidR="70D67F88">
        <w:t xml:space="preserve">letter </w:t>
      </w:r>
      <w:r w:rsidR="001022DD">
        <w:t xml:space="preserve">will be sent </w:t>
      </w:r>
      <w:r w:rsidR="33DD000E">
        <w:t>home with the student</w:t>
      </w:r>
      <w:r w:rsidR="001022DD">
        <w:t xml:space="preserve"> if any immunizations are found to be incomplete.  Students must have their immunizations </w:t>
      </w:r>
      <w:r w:rsidR="5AE4885E">
        <w:t>up to date</w:t>
      </w:r>
      <w:r w:rsidR="53731B2D">
        <w:t xml:space="preserve"> to</w:t>
      </w:r>
      <w:r w:rsidR="001022DD">
        <w:t xml:space="preserve"> continue school.</w:t>
      </w:r>
      <w:r w:rsidR="00E3108D">
        <w:t xml:space="preserve">  Other</w:t>
      </w:r>
      <w:r w:rsidR="484192CF">
        <w:t xml:space="preserve"> specific</w:t>
      </w:r>
      <w:r w:rsidR="00E3108D">
        <w:t xml:space="preserve"> immunization information may be found on</w:t>
      </w:r>
      <w:r w:rsidR="3B5AA27F">
        <w:t xml:space="preserve"> the</w:t>
      </w:r>
      <w:r w:rsidR="00E3108D">
        <w:t xml:space="preserve"> </w:t>
      </w:r>
      <w:hyperlink r:id="rId10">
        <w:r w:rsidR="00E3108D" w:rsidRPr="5C0D8BAA">
          <w:rPr>
            <w:rStyle w:val="Hyperlink"/>
          </w:rPr>
          <w:t>Health Services</w:t>
        </w:r>
      </w:hyperlink>
      <w:r w:rsidR="00E3108D">
        <w:t xml:space="preserve"> page of </w:t>
      </w:r>
      <w:r w:rsidR="0C3E2F30">
        <w:t xml:space="preserve">the </w:t>
      </w:r>
      <w:r w:rsidR="00E3108D">
        <w:t>ACS</w:t>
      </w:r>
      <w:r w:rsidR="5158C0B4">
        <w:t xml:space="preserve"> website</w:t>
      </w:r>
      <w:r w:rsidR="00E3108D">
        <w:t>.</w:t>
      </w:r>
    </w:p>
    <w:p w14:paraId="48DD6638" w14:textId="25100742" w:rsidR="5C0D8BAA" w:rsidRDefault="5C0D8BAA" w:rsidP="5C0D8BAA">
      <w:pPr>
        <w:spacing w:after="0"/>
        <w:ind w:firstLine="540"/>
      </w:pPr>
    </w:p>
    <w:tbl>
      <w:tblPr>
        <w:tblStyle w:val="TableGrid"/>
        <w:tblpPr w:leftFromText="180" w:rightFromText="180" w:vertAnchor="text" w:horzAnchor="margin" w:tblpXSpec="center" w:tblpY="135"/>
        <w:tblW w:w="0" w:type="auto"/>
        <w:tblLook w:val="04A0" w:firstRow="1" w:lastRow="0" w:firstColumn="1" w:lastColumn="0" w:noHBand="0" w:noVBand="1"/>
      </w:tblPr>
      <w:tblGrid>
        <w:gridCol w:w="2695"/>
        <w:gridCol w:w="1440"/>
        <w:gridCol w:w="1170"/>
        <w:gridCol w:w="1260"/>
      </w:tblGrid>
      <w:tr w:rsidR="00686D29" w14:paraId="3BBF9A49" w14:textId="77777777" w:rsidTr="00686D29">
        <w:tc>
          <w:tcPr>
            <w:tcW w:w="2695" w:type="dxa"/>
            <w:shd w:val="clear" w:color="auto" w:fill="99CCFF"/>
          </w:tcPr>
          <w:p w14:paraId="6F74E9C2" w14:textId="77777777" w:rsidR="00686D29" w:rsidRPr="00686D29" w:rsidRDefault="00686D29" w:rsidP="00686D29">
            <w:pPr>
              <w:rPr>
                <w:b/>
              </w:rPr>
            </w:pPr>
            <w:r w:rsidRPr="00686D29">
              <w:rPr>
                <w:b/>
              </w:rPr>
              <w:t>Vaccine</w:t>
            </w:r>
          </w:p>
        </w:tc>
        <w:tc>
          <w:tcPr>
            <w:tcW w:w="1440" w:type="dxa"/>
            <w:shd w:val="clear" w:color="auto" w:fill="99CCFF"/>
          </w:tcPr>
          <w:p w14:paraId="7338A565" w14:textId="77777777" w:rsidR="00686D29" w:rsidRPr="00686D29" w:rsidRDefault="00686D29" w:rsidP="00686D29">
            <w:pPr>
              <w:rPr>
                <w:b/>
              </w:rPr>
            </w:pPr>
            <w:r w:rsidRPr="00686D29">
              <w:rPr>
                <w:b/>
              </w:rPr>
              <w:t>Kindergarten</w:t>
            </w:r>
          </w:p>
        </w:tc>
        <w:tc>
          <w:tcPr>
            <w:tcW w:w="1170" w:type="dxa"/>
            <w:shd w:val="clear" w:color="auto" w:fill="99CCFF"/>
          </w:tcPr>
          <w:p w14:paraId="5F2DFF83" w14:textId="77777777" w:rsidR="00686D29" w:rsidRPr="00686D29" w:rsidRDefault="00686D29" w:rsidP="00686D29">
            <w:pPr>
              <w:rPr>
                <w:b/>
              </w:rPr>
            </w:pPr>
            <w:r w:rsidRPr="00686D29">
              <w:rPr>
                <w:b/>
              </w:rPr>
              <w:t>7</w:t>
            </w:r>
            <w:r w:rsidRPr="00686D29">
              <w:rPr>
                <w:b/>
                <w:vertAlign w:val="superscript"/>
              </w:rPr>
              <w:t>th</w:t>
            </w:r>
            <w:r w:rsidRPr="00686D29">
              <w:rPr>
                <w:b/>
              </w:rPr>
              <w:t xml:space="preserve"> Grade</w:t>
            </w:r>
          </w:p>
        </w:tc>
        <w:tc>
          <w:tcPr>
            <w:tcW w:w="1260" w:type="dxa"/>
            <w:shd w:val="clear" w:color="auto" w:fill="99CCFF"/>
          </w:tcPr>
          <w:p w14:paraId="02B02D1E" w14:textId="77777777" w:rsidR="00686D29" w:rsidRPr="00686D29" w:rsidRDefault="00686D29" w:rsidP="00686D29">
            <w:pPr>
              <w:rPr>
                <w:b/>
              </w:rPr>
            </w:pPr>
            <w:r w:rsidRPr="00686D29">
              <w:rPr>
                <w:b/>
              </w:rPr>
              <w:t>12</w:t>
            </w:r>
            <w:r w:rsidRPr="00686D29">
              <w:rPr>
                <w:b/>
                <w:vertAlign w:val="superscript"/>
              </w:rPr>
              <w:t>th</w:t>
            </w:r>
            <w:r w:rsidRPr="00686D29">
              <w:rPr>
                <w:b/>
              </w:rPr>
              <w:t xml:space="preserve"> Grade</w:t>
            </w:r>
          </w:p>
        </w:tc>
      </w:tr>
      <w:tr w:rsidR="00686D29" w14:paraId="2F4CAD83" w14:textId="77777777" w:rsidTr="00686D29">
        <w:tc>
          <w:tcPr>
            <w:tcW w:w="2695" w:type="dxa"/>
          </w:tcPr>
          <w:p w14:paraId="408EB9D0" w14:textId="77777777" w:rsidR="00686D29" w:rsidRDefault="00EE0497" w:rsidP="00686D29">
            <w:hyperlink r:id="rId11" w:history="1">
              <w:r w:rsidR="00686D29" w:rsidRPr="00686D29">
                <w:rPr>
                  <w:rStyle w:val="Hyperlink"/>
                </w:rPr>
                <w:t>DTaP</w:t>
              </w:r>
            </w:hyperlink>
          </w:p>
        </w:tc>
        <w:tc>
          <w:tcPr>
            <w:tcW w:w="1440" w:type="dxa"/>
          </w:tcPr>
          <w:p w14:paraId="3E7B427F" w14:textId="77777777" w:rsidR="00686D29" w:rsidRDefault="00686D29" w:rsidP="00686D29">
            <w:r>
              <w:t>5 doses</w:t>
            </w:r>
          </w:p>
        </w:tc>
        <w:tc>
          <w:tcPr>
            <w:tcW w:w="1170" w:type="dxa"/>
          </w:tcPr>
          <w:p w14:paraId="19B2C520" w14:textId="77777777" w:rsidR="00686D29" w:rsidRDefault="00686D29" w:rsidP="00686D29">
            <w:r>
              <w:t>5 doses</w:t>
            </w:r>
          </w:p>
        </w:tc>
        <w:tc>
          <w:tcPr>
            <w:tcW w:w="1260" w:type="dxa"/>
          </w:tcPr>
          <w:p w14:paraId="7A411EEF" w14:textId="77777777" w:rsidR="00686D29" w:rsidRDefault="00686D29" w:rsidP="00686D29">
            <w:r>
              <w:t>5 doses</w:t>
            </w:r>
          </w:p>
        </w:tc>
      </w:tr>
      <w:tr w:rsidR="00686D29" w14:paraId="40D1595E" w14:textId="77777777" w:rsidTr="00686D29">
        <w:tc>
          <w:tcPr>
            <w:tcW w:w="2695" w:type="dxa"/>
          </w:tcPr>
          <w:p w14:paraId="2BA949A4" w14:textId="77777777" w:rsidR="00686D29" w:rsidRDefault="00EE0497" w:rsidP="00686D29">
            <w:hyperlink r:id="rId12" w:history="1">
              <w:r w:rsidR="00686D29" w:rsidRPr="00686D29">
                <w:rPr>
                  <w:rStyle w:val="Hyperlink"/>
                </w:rPr>
                <w:t>Polio</w:t>
              </w:r>
            </w:hyperlink>
          </w:p>
        </w:tc>
        <w:tc>
          <w:tcPr>
            <w:tcW w:w="1440" w:type="dxa"/>
          </w:tcPr>
          <w:p w14:paraId="187AE442" w14:textId="77777777" w:rsidR="00686D29" w:rsidRDefault="00686D29" w:rsidP="00686D29">
            <w:r>
              <w:t>4 doses</w:t>
            </w:r>
          </w:p>
        </w:tc>
        <w:tc>
          <w:tcPr>
            <w:tcW w:w="1170" w:type="dxa"/>
          </w:tcPr>
          <w:p w14:paraId="3D937CFC" w14:textId="77777777" w:rsidR="00686D29" w:rsidRDefault="00686D29" w:rsidP="00686D29">
            <w:r>
              <w:t>4 doses</w:t>
            </w:r>
          </w:p>
        </w:tc>
        <w:tc>
          <w:tcPr>
            <w:tcW w:w="1260" w:type="dxa"/>
          </w:tcPr>
          <w:p w14:paraId="5E2EB48C" w14:textId="77777777" w:rsidR="00686D29" w:rsidRDefault="00686D29" w:rsidP="00686D29">
            <w:r>
              <w:t>4 doses</w:t>
            </w:r>
          </w:p>
        </w:tc>
      </w:tr>
      <w:tr w:rsidR="00686D29" w14:paraId="4F84D9ED" w14:textId="77777777" w:rsidTr="00686D29">
        <w:tc>
          <w:tcPr>
            <w:tcW w:w="2695" w:type="dxa"/>
          </w:tcPr>
          <w:p w14:paraId="3A5E4450" w14:textId="77777777" w:rsidR="00686D29" w:rsidRDefault="00EE0497" w:rsidP="00686D29">
            <w:hyperlink r:id="rId13" w:history="1">
              <w:r w:rsidR="00686D29" w:rsidRPr="00686D29">
                <w:rPr>
                  <w:rStyle w:val="Hyperlink"/>
                </w:rPr>
                <w:t>MMR</w:t>
              </w:r>
            </w:hyperlink>
          </w:p>
        </w:tc>
        <w:tc>
          <w:tcPr>
            <w:tcW w:w="1440" w:type="dxa"/>
          </w:tcPr>
          <w:p w14:paraId="4D6F90BF" w14:textId="77777777" w:rsidR="00686D29" w:rsidRDefault="00686D29" w:rsidP="00686D29">
            <w:r>
              <w:t>2 doses</w:t>
            </w:r>
          </w:p>
        </w:tc>
        <w:tc>
          <w:tcPr>
            <w:tcW w:w="1170" w:type="dxa"/>
          </w:tcPr>
          <w:p w14:paraId="4C10C781" w14:textId="77777777" w:rsidR="00686D29" w:rsidRDefault="00686D29" w:rsidP="00686D29">
            <w:r>
              <w:t>2 doses</w:t>
            </w:r>
          </w:p>
        </w:tc>
        <w:tc>
          <w:tcPr>
            <w:tcW w:w="1260" w:type="dxa"/>
          </w:tcPr>
          <w:p w14:paraId="3AC26AB8" w14:textId="77777777" w:rsidR="00686D29" w:rsidRDefault="00686D29" w:rsidP="00686D29">
            <w:r>
              <w:t>2 doses</w:t>
            </w:r>
          </w:p>
        </w:tc>
      </w:tr>
      <w:tr w:rsidR="00686D29" w14:paraId="6E010BEE" w14:textId="77777777" w:rsidTr="00686D29">
        <w:tc>
          <w:tcPr>
            <w:tcW w:w="2695" w:type="dxa"/>
          </w:tcPr>
          <w:p w14:paraId="36A94512" w14:textId="77777777" w:rsidR="00686D29" w:rsidRDefault="00EE0497" w:rsidP="00686D29">
            <w:hyperlink r:id="rId14" w:history="1">
              <w:r w:rsidR="00686D29" w:rsidRPr="00686D29">
                <w:rPr>
                  <w:rStyle w:val="Hyperlink"/>
                </w:rPr>
                <w:t>Varicella</w:t>
              </w:r>
            </w:hyperlink>
          </w:p>
        </w:tc>
        <w:tc>
          <w:tcPr>
            <w:tcW w:w="1440" w:type="dxa"/>
          </w:tcPr>
          <w:p w14:paraId="16CB9391" w14:textId="77777777" w:rsidR="00686D29" w:rsidRDefault="00686D29" w:rsidP="00686D29">
            <w:r>
              <w:t>2 doses</w:t>
            </w:r>
          </w:p>
        </w:tc>
        <w:tc>
          <w:tcPr>
            <w:tcW w:w="1170" w:type="dxa"/>
          </w:tcPr>
          <w:p w14:paraId="1AE8D4DB" w14:textId="77777777" w:rsidR="00686D29" w:rsidRDefault="00686D29" w:rsidP="00686D29">
            <w:r>
              <w:t>2 doses</w:t>
            </w:r>
          </w:p>
        </w:tc>
        <w:tc>
          <w:tcPr>
            <w:tcW w:w="1260" w:type="dxa"/>
          </w:tcPr>
          <w:p w14:paraId="713A8B5B" w14:textId="77777777" w:rsidR="00686D29" w:rsidRDefault="00686D29" w:rsidP="00686D29">
            <w:r>
              <w:t>2 doses</w:t>
            </w:r>
          </w:p>
        </w:tc>
      </w:tr>
      <w:tr w:rsidR="00686D29" w14:paraId="18FF267D" w14:textId="77777777" w:rsidTr="00686D29">
        <w:tc>
          <w:tcPr>
            <w:tcW w:w="2695" w:type="dxa"/>
          </w:tcPr>
          <w:p w14:paraId="39339CA0" w14:textId="77777777" w:rsidR="00686D29" w:rsidRDefault="00EE0497" w:rsidP="00686D29">
            <w:hyperlink r:id="rId15" w:history="1">
              <w:r w:rsidR="00686D29" w:rsidRPr="00686D29">
                <w:rPr>
                  <w:rStyle w:val="Hyperlink"/>
                </w:rPr>
                <w:t>Hib</w:t>
              </w:r>
            </w:hyperlink>
          </w:p>
        </w:tc>
        <w:tc>
          <w:tcPr>
            <w:tcW w:w="1440" w:type="dxa"/>
          </w:tcPr>
          <w:p w14:paraId="0C0C8703" w14:textId="77777777" w:rsidR="00686D29" w:rsidRDefault="00686D29" w:rsidP="00686D29">
            <w:r>
              <w:t>4 doses</w:t>
            </w:r>
          </w:p>
        </w:tc>
        <w:tc>
          <w:tcPr>
            <w:tcW w:w="1170" w:type="dxa"/>
          </w:tcPr>
          <w:p w14:paraId="57A42C3F" w14:textId="77777777" w:rsidR="00686D29" w:rsidRDefault="00686D29" w:rsidP="00686D29">
            <w:r>
              <w:t>4 doses</w:t>
            </w:r>
          </w:p>
        </w:tc>
        <w:tc>
          <w:tcPr>
            <w:tcW w:w="1260" w:type="dxa"/>
          </w:tcPr>
          <w:p w14:paraId="50424287" w14:textId="77777777" w:rsidR="00686D29" w:rsidRDefault="00686D29" w:rsidP="00686D29">
            <w:r>
              <w:t>4 doses</w:t>
            </w:r>
          </w:p>
        </w:tc>
      </w:tr>
      <w:tr w:rsidR="00686D29" w14:paraId="65DDE7A2" w14:textId="77777777" w:rsidTr="00686D29">
        <w:tc>
          <w:tcPr>
            <w:tcW w:w="2695" w:type="dxa"/>
          </w:tcPr>
          <w:p w14:paraId="0F743D0A" w14:textId="77777777" w:rsidR="00686D29" w:rsidRDefault="00EE0497" w:rsidP="00686D29">
            <w:hyperlink r:id="rId16" w:history="1">
              <w:r w:rsidR="00686D29" w:rsidRPr="00686D29">
                <w:rPr>
                  <w:rStyle w:val="Hyperlink"/>
                </w:rPr>
                <w:t>Hepatitis B</w:t>
              </w:r>
            </w:hyperlink>
          </w:p>
        </w:tc>
        <w:tc>
          <w:tcPr>
            <w:tcW w:w="1440" w:type="dxa"/>
          </w:tcPr>
          <w:p w14:paraId="795661E0" w14:textId="77777777" w:rsidR="00686D29" w:rsidRDefault="00686D29" w:rsidP="00686D29">
            <w:r>
              <w:t>3 doses</w:t>
            </w:r>
          </w:p>
        </w:tc>
        <w:tc>
          <w:tcPr>
            <w:tcW w:w="1170" w:type="dxa"/>
          </w:tcPr>
          <w:p w14:paraId="01F5C5E4" w14:textId="77777777" w:rsidR="00686D29" w:rsidRDefault="00686D29" w:rsidP="00686D29">
            <w:r>
              <w:t>3 doses</w:t>
            </w:r>
          </w:p>
        </w:tc>
        <w:tc>
          <w:tcPr>
            <w:tcW w:w="1260" w:type="dxa"/>
          </w:tcPr>
          <w:p w14:paraId="4CB56484" w14:textId="77777777" w:rsidR="00686D29" w:rsidRDefault="00686D29" w:rsidP="00686D29">
            <w:r>
              <w:t>3 doses</w:t>
            </w:r>
          </w:p>
        </w:tc>
      </w:tr>
      <w:tr w:rsidR="00686D29" w14:paraId="46B676E7" w14:textId="77777777" w:rsidTr="00686D29">
        <w:tc>
          <w:tcPr>
            <w:tcW w:w="2695" w:type="dxa"/>
          </w:tcPr>
          <w:p w14:paraId="0D0C0DDE" w14:textId="77777777" w:rsidR="00686D29" w:rsidRDefault="00EE0497" w:rsidP="00686D29">
            <w:hyperlink r:id="rId17" w:history="1">
              <w:r w:rsidR="00686D29" w:rsidRPr="00686D29">
                <w:rPr>
                  <w:rStyle w:val="Hyperlink"/>
                </w:rPr>
                <w:t>Pneumococcal Conjugate (PVC)</w:t>
              </w:r>
            </w:hyperlink>
          </w:p>
        </w:tc>
        <w:tc>
          <w:tcPr>
            <w:tcW w:w="1440" w:type="dxa"/>
          </w:tcPr>
          <w:p w14:paraId="227CB339" w14:textId="77777777" w:rsidR="00686D29" w:rsidRDefault="00686D29" w:rsidP="00686D29">
            <w:r>
              <w:t>4 doses</w:t>
            </w:r>
          </w:p>
        </w:tc>
        <w:tc>
          <w:tcPr>
            <w:tcW w:w="1170" w:type="dxa"/>
          </w:tcPr>
          <w:p w14:paraId="24F466AD" w14:textId="77777777" w:rsidR="00686D29" w:rsidRDefault="00686D29" w:rsidP="00686D29">
            <w:r>
              <w:t>4 doses</w:t>
            </w:r>
          </w:p>
        </w:tc>
        <w:tc>
          <w:tcPr>
            <w:tcW w:w="1260" w:type="dxa"/>
          </w:tcPr>
          <w:p w14:paraId="4F13D3F0" w14:textId="77777777" w:rsidR="00686D29" w:rsidRDefault="00686D29" w:rsidP="00686D29">
            <w:r>
              <w:t>4 doses</w:t>
            </w:r>
          </w:p>
        </w:tc>
      </w:tr>
      <w:tr w:rsidR="00686D29" w14:paraId="72324BE3" w14:textId="77777777" w:rsidTr="00686D29">
        <w:tc>
          <w:tcPr>
            <w:tcW w:w="2695" w:type="dxa"/>
          </w:tcPr>
          <w:p w14:paraId="60FC5827" w14:textId="77777777" w:rsidR="00686D29" w:rsidRDefault="00EE0497" w:rsidP="00686D29">
            <w:hyperlink r:id="rId18" w:history="1">
              <w:r w:rsidR="00686D29" w:rsidRPr="00686D29">
                <w:rPr>
                  <w:rStyle w:val="Hyperlink"/>
                </w:rPr>
                <w:t>Tdap</w:t>
              </w:r>
            </w:hyperlink>
          </w:p>
        </w:tc>
        <w:tc>
          <w:tcPr>
            <w:tcW w:w="1440" w:type="dxa"/>
            <w:shd w:val="clear" w:color="auto" w:fill="767171" w:themeFill="background2" w:themeFillShade="80"/>
          </w:tcPr>
          <w:p w14:paraId="4BCEC102" w14:textId="77777777" w:rsidR="00686D29" w:rsidRDefault="00686D29" w:rsidP="00686D29"/>
        </w:tc>
        <w:tc>
          <w:tcPr>
            <w:tcW w:w="1170" w:type="dxa"/>
          </w:tcPr>
          <w:p w14:paraId="55CF58B2" w14:textId="77777777" w:rsidR="00686D29" w:rsidRDefault="00686D29" w:rsidP="00686D29">
            <w:r>
              <w:t>1 dose</w:t>
            </w:r>
          </w:p>
        </w:tc>
        <w:tc>
          <w:tcPr>
            <w:tcW w:w="1260" w:type="dxa"/>
          </w:tcPr>
          <w:p w14:paraId="0E8A7EE2" w14:textId="77777777" w:rsidR="00686D29" w:rsidRDefault="00686D29" w:rsidP="00686D29">
            <w:r>
              <w:t>1 dose</w:t>
            </w:r>
          </w:p>
        </w:tc>
      </w:tr>
      <w:tr w:rsidR="00686D29" w14:paraId="11279407" w14:textId="77777777" w:rsidTr="00686D29">
        <w:tc>
          <w:tcPr>
            <w:tcW w:w="2695" w:type="dxa"/>
          </w:tcPr>
          <w:p w14:paraId="0E962E9E" w14:textId="77777777" w:rsidR="00686D29" w:rsidRDefault="00EE0497" w:rsidP="00686D29">
            <w:hyperlink r:id="rId19" w:history="1">
              <w:r w:rsidR="00686D29" w:rsidRPr="00686D29">
                <w:rPr>
                  <w:rStyle w:val="Hyperlink"/>
                </w:rPr>
                <w:t>Meningococcal  Conjugate</w:t>
              </w:r>
            </w:hyperlink>
          </w:p>
        </w:tc>
        <w:tc>
          <w:tcPr>
            <w:tcW w:w="1440" w:type="dxa"/>
            <w:shd w:val="clear" w:color="auto" w:fill="767171" w:themeFill="background2" w:themeFillShade="80"/>
          </w:tcPr>
          <w:p w14:paraId="32870D49" w14:textId="77777777" w:rsidR="00686D29" w:rsidRDefault="00686D29" w:rsidP="00686D29"/>
        </w:tc>
        <w:tc>
          <w:tcPr>
            <w:tcW w:w="1170" w:type="dxa"/>
          </w:tcPr>
          <w:p w14:paraId="0215719B" w14:textId="77777777" w:rsidR="00686D29" w:rsidRDefault="00686D29" w:rsidP="00686D29">
            <w:r>
              <w:t>1 dose</w:t>
            </w:r>
          </w:p>
        </w:tc>
        <w:tc>
          <w:tcPr>
            <w:tcW w:w="1260" w:type="dxa"/>
          </w:tcPr>
          <w:p w14:paraId="0BB3F0BF" w14:textId="77777777" w:rsidR="00686D29" w:rsidRDefault="00686D29" w:rsidP="00686D29">
            <w:r>
              <w:t>2 doses</w:t>
            </w:r>
          </w:p>
        </w:tc>
      </w:tr>
    </w:tbl>
    <w:p w14:paraId="36668356" w14:textId="77777777" w:rsidR="00686D29" w:rsidRDefault="00686D29" w:rsidP="001022DD">
      <w:pPr>
        <w:spacing w:after="0"/>
        <w:ind w:firstLine="540"/>
      </w:pPr>
      <w:r>
        <w:tab/>
      </w:r>
    </w:p>
    <w:p w14:paraId="2AC0F74C" w14:textId="0DEDBB96" w:rsidR="5C0D8BAA" w:rsidRDefault="5C0D8BAA" w:rsidP="5C0D8BAA">
      <w:pPr>
        <w:spacing w:after="0"/>
        <w:ind w:firstLine="540"/>
        <w:jc w:val="center"/>
        <w:rPr>
          <w:b/>
          <w:bCs/>
        </w:rPr>
      </w:pPr>
    </w:p>
    <w:p w14:paraId="6EA6683E" w14:textId="68800D9D" w:rsidR="5C0D8BAA" w:rsidRDefault="5C0D8BAA" w:rsidP="5C0D8BAA">
      <w:pPr>
        <w:spacing w:after="0"/>
        <w:ind w:firstLine="540"/>
        <w:jc w:val="center"/>
        <w:rPr>
          <w:b/>
          <w:bCs/>
        </w:rPr>
      </w:pPr>
    </w:p>
    <w:p w14:paraId="521E783B" w14:textId="393E3BB2" w:rsidR="5C0D8BAA" w:rsidRDefault="5C0D8BAA" w:rsidP="5C0D8BAA">
      <w:pPr>
        <w:spacing w:after="0"/>
        <w:ind w:firstLine="540"/>
        <w:jc w:val="center"/>
        <w:rPr>
          <w:b/>
          <w:bCs/>
        </w:rPr>
      </w:pPr>
    </w:p>
    <w:p w14:paraId="4B2B4454" w14:textId="0411CF77" w:rsidR="5C0D8BAA" w:rsidRDefault="5C0D8BAA" w:rsidP="5C0D8BAA">
      <w:pPr>
        <w:spacing w:after="0"/>
        <w:ind w:firstLine="540"/>
        <w:jc w:val="center"/>
        <w:rPr>
          <w:b/>
          <w:bCs/>
        </w:rPr>
      </w:pPr>
    </w:p>
    <w:p w14:paraId="7D89CE22" w14:textId="36A3E591" w:rsidR="5C0D8BAA" w:rsidRDefault="5C0D8BAA" w:rsidP="5C0D8BAA">
      <w:pPr>
        <w:spacing w:after="0"/>
        <w:ind w:firstLine="540"/>
        <w:jc w:val="center"/>
        <w:rPr>
          <w:b/>
          <w:bCs/>
        </w:rPr>
      </w:pPr>
    </w:p>
    <w:p w14:paraId="7CDE3FBA" w14:textId="27A93BF3" w:rsidR="00686D29" w:rsidRDefault="00686D29" w:rsidP="5C0D8BAA">
      <w:pPr>
        <w:spacing w:after="0"/>
        <w:ind w:firstLine="540"/>
        <w:jc w:val="center"/>
        <w:rPr>
          <w:b/>
          <w:bCs/>
        </w:rPr>
      </w:pPr>
      <w:r w:rsidRPr="5C0D8BAA">
        <w:rPr>
          <w:b/>
          <w:bCs/>
        </w:rPr>
        <w:t>Health Screenings</w:t>
      </w:r>
    </w:p>
    <w:p w14:paraId="53E18F04" w14:textId="1D3B7E6E" w:rsidR="5C0D8BAA" w:rsidRDefault="5C0D8BAA" w:rsidP="5C0D8BAA">
      <w:pPr>
        <w:spacing w:after="0"/>
        <w:ind w:firstLine="540"/>
        <w:jc w:val="center"/>
        <w:rPr>
          <w:b/>
          <w:bCs/>
        </w:rPr>
      </w:pPr>
    </w:p>
    <w:p w14:paraId="753FCC6F" w14:textId="20087C7B" w:rsidR="00686D29" w:rsidRDefault="00686D29" w:rsidP="00C5136E">
      <w:pPr>
        <w:spacing w:after="0" w:line="240" w:lineRule="auto"/>
        <w:ind w:firstLine="540"/>
      </w:pPr>
      <w:r>
        <w:t xml:space="preserve">Throughout the </w:t>
      </w:r>
      <w:r w:rsidR="4515642A">
        <w:t xml:space="preserve">school </w:t>
      </w:r>
      <w:r>
        <w:t xml:space="preserve">year, children will be screened to </w:t>
      </w:r>
      <w:r w:rsidR="15E5A844">
        <w:t>ensure</w:t>
      </w:r>
      <w:r>
        <w:t xml:space="preserve"> they can </w:t>
      </w:r>
      <w:r w:rsidR="47CB99C7">
        <w:t>see</w:t>
      </w:r>
      <w:r w:rsidR="06B563E7">
        <w:t xml:space="preserve"> and </w:t>
      </w:r>
      <w:r>
        <w:t xml:space="preserve">hear </w:t>
      </w:r>
      <w:r w:rsidR="74C1A65B">
        <w:t>properly. The</w:t>
      </w:r>
      <w:r w:rsidR="00580654">
        <w:t xml:space="preserve"> students may</w:t>
      </w:r>
      <w:r w:rsidR="74C1A65B">
        <w:t xml:space="preserve"> also be screened for</w:t>
      </w:r>
      <w:r w:rsidR="00AB22A2">
        <w:t>,</w:t>
      </w:r>
      <w:r w:rsidR="74C1A65B">
        <w:t xml:space="preserve"> and educated </w:t>
      </w:r>
      <w:r w:rsidR="00AB22A2">
        <w:t xml:space="preserve">about </w:t>
      </w:r>
      <w:r>
        <w:t xml:space="preserve">dental hygiene.  The following schedule applies to screenings your child </w:t>
      </w:r>
      <w:r w:rsidR="360F0389">
        <w:t>may</w:t>
      </w:r>
      <w:r>
        <w:t xml:space="preserve"> receive throughout the school year:</w:t>
      </w:r>
    </w:p>
    <w:p w14:paraId="2B92C6EC" w14:textId="69345275" w:rsidR="00686D29" w:rsidRDefault="00686D29" w:rsidP="00C5136E">
      <w:pPr>
        <w:pStyle w:val="ListParagraph"/>
        <w:numPr>
          <w:ilvl w:val="0"/>
          <w:numId w:val="1"/>
        </w:numPr>
        <w:spacing w:after="0" w:line="240" w:lineRule="auto"/>
      </w:pPr>
      <w:r>
        <w:t>Vision:  Initially for Pre-K, Kindergarten</w:t>
      </w:r>
      <w:r w:rsidR="001537EB">
        <w:t>, 1</w:t>
      </w:r>
      <w:r w:rsidR="001537EB" w:rsidRPr="5C0D8BAA">
        <w:rPr>
          <w:vertAlign w:val="superscript"/>
        </w:rPr>
        <w:t>st</w:t>
      </w:r>
      <w:r w:rsidR="001537EB">
        <w:t>, 3</w:t>
      </w:r>
      <w:r w:rsidR="001537EB" w:rsidRPr="5C0D8BAA">
        <w:rPr>
          <w:vertAlign w:val="superscript"/>
        </w:rPr>
        <w:t>rd</w:t>
      </w:r>
      <w:r w:rsidR="001537EB">
        <w:t>, 5</w:t>
      </w:r>
      <w:r w:rsidR="001537EB" w:rsidRPr="5C0D8BAA">
        <w:rPr>
          <w:vertAlign w:val="superscript"/>
        </w:rPr>
        <w:t>th</w:t>
      </w:r>
      <w:r w:rsidR="001537EB">
        <w:t xml:space="preserve">, </w:t>
      </w:r>
      <w:r w:rsidR="31E8A9BA">
        <w:t>7th,</w:t>
      </w:r>
      <w:r w:rsidR="001537EB">
        <w:t xml:space="preserve"> and 9</w:t>
      </w:r>
      <w:r w:rsidR="001537EB" w:rsidRPr="5C0D8BAA">
        <w:rPr>
          <w:vertAlign w:val="superscript"/>
        </w:rPr>
        <w:t>th</w:t>
      </w:r>
      <w:r w:rsidR="001537EB">
        <w:t xml:space="preserve"> </w:t>
      </w:r>
    </w:p>
    <w:p w14:paraId="502FBDCA" w14:textId="0122CBE0" w:rsidR="00A072FB" w:rsidRDefault="00A072FB" w:rsidP="5C0D8BAA">
      <w:pPr>
        <w:pStyle w:val="ListParagraph"/>
        <w:numPr>
          <w:ilvl w:val="1"/>
          <w:numId w:val="1"/>
        </w:numPr>
        <w:spacing w:after="0"/>
      </w:pPr>
      <w:r>
        <w:t>Colorblindness screening for boys in kindergarten</w:t>
      </w:r>
    </w:p>
    <w:p w14:paraId="6B40037E" w14:textId="77777777" w:rsidR="00A072FB" w:rsidRDefault="00A072FB" w:rsidP="00686D29">
      <w:pPr>
        <w:pStyle w:val="ListParagraph"/>
        <w:numPr>
          <w:ilvl w:val="0"/>
          <w:numId w:val="1"/>
        </w:numPr>
        <w:spacing w:after="0"/>
      </w:pPr>
      <w:r>
        <w:t>Hearing: Initially for Pre-K, Kindergarten, once in elementary, once in middle school and once in high school.</w:t>
      </w:r>
    </w:p>
    <w:p w14:paraId="11D2ECD7" w14:textId="26DDDAB2" w:rsidR="00A072FB" w:rsidRDefault="00A072FB" w:rsidP="00686D29">
      <w:pPr>
        <w:pStyle w:val="ListParagraph"/>
        <w:numPr>
          <w:ilvl w:val="0"/>
          <w:numId w:val="1"/>
        </w:numPr>
        <w:spacing w:after="0"/>
      </w:pPr>
      <w:r>
        <w:t>Dental: Will be conducted as per the Registered Dental Hygienist with the NC Oral Health Section.</w:t>
      </w:r>
    </w:p>
    <w:p w14:paraId="63D4B584" w14:textId="77777777" w:rsidR="00C5136E" w:rsidRDefault="00A072FB" w:rsidP="00C5136E">
      <w:pPr>
        <w:pStyle w:val="ListParagraph"/>
        <w:numPr>
          <w:ilvl w:val="0"/>
          <w:numId w:val="1"/>
        </w:numPr>
        <w:tabs>
          <w:tab w:val="left" w:pos="360"/>
          <w:tab w:val="left" w:pos="990"/>
        </w:tabs>
        <w:rPr>
          <w:rFonts w:ascii="Times New Roman" w:eastAsia="Times New Roman" w:hAnsi="Times New Roman" w:cs="Times New Roman"/>
        </w:rPr>
      </w:pPr>
      <w:r>
        <w:t>Additional Screening could be completed on all students including but not limited to:</w:t>
      </w:r>
      <w:r w:rsidR="00C5136E" w:rsidRPr="00C5136E">
        <w:rPr>
          <w:rFonts w:ascii="Times New Roman" w:eastAsia="Times New Roman" w:hAnsi="Times New Roman" w:cs="Times New Roman"/>
        </w:rPr>
        <w:t xml:space="preserve"> </w:t>
      </w:r>
    </w:p>
    <w:p w14:paraId="724478BE" w14:textId="77777777" w:rsidR="00C5136E" w:rsidRPr="00C5136E" w:rsidRDefault="00C5136E" w:rsidP="00C5136E">
      <w:pPr>
        <w:pStyle w:val="ListParagraph"/>
        <w:tabs>
          <w:tab w:val="left" w:pos="360"/>
          <w:tab w:val="left" w:pos="990"/>
        </w:tabs>
        <w:ind w:left="1260"/>
        <w:rPr>
          <w:rFonts w:eastAsia="Times New Roman" w:cs="Times New Roman"/>
        </w:rPr>
      </w:pPr>
      <w:r w:rsidRPr="00C5136E">
        <w:rPr>
          <w:rFonts w:eastAsia="Times New Roman" w:cs="Times New Roman"/>
        </w:rPr>
        <w:t>1) New to school, 2) In Exceptional Children’s Program, 3) Failure of a screening during the previous year, 4) Academic difficulties/referral to School Assistance Team, 5) Student who presents with complaints, 6) Teacher referral 7) Parent request</w:t>
      </w:r>
    </w:p>
    <w:p w14:paraId="47D91186" w14:textId="77777777" w:rsidR="00A072FB" w:rsidRDefault="00A072FB" w:rsidP="00C5136E">
      <w:pPr>
        <w:spacing w:after="0"/>
      </w:pPr>
    </w:p>
    <w:p w14:paraId="6D822F4C" w14:textId="77777777" w:rsidR="00A072FB" w:rsidRDefault="00A072FB" w:rsidP="00A072FB">
      <w:pPr>
        <w:spacing w:after="0"/>
        <w:jc w:val="center"/>
        <w:rPr>
          <w:b/>
        </w:rPr>
      </w:pPr>
      <w:r>
        <w:rPr>
          <w:b/>
        </w:rPr>
        <w:lastRenderedPageBreak/>
        <w:t>Communicable Illness</w:t>
      </w:r>
    </w:p>
    <w:p w14:paraId="365D6CD9" w14:textId="4D610691" w:rsidR="000636F6" w:rsidRDefault="000636F6" w:rsidP="000636F6">
      <w:pPr>
        <w:spacing w:after="0"/>
      </w:pPr>
      <w:r>
        <w:t>Children need to come to school healthy and ready to learn.  Below are a few guideline</w:t>
      </w:r>
      <w:r w:rsidR="474767A5">
        <w:t>s</w:t>
      </w:r>
      <w:r>
        <w:t xml:space="preserve"> </w:t>
      </w:r>
      <w:r w:rsidR="00E3108D">
        <w:t>ACS ask</w:t>
      </w:r>
      <w:r w:rsidR="7C47BDC6">
        <w:t>s</w:t>
      </w:r>
      <w:r w:rsidR="00E3108D">
        <w:t xml:space="preserve"> you to follow concerning your child’s health.  These guidelines are in place to prevent </w:t>
      </w:r>
      <w:r w:rsidR="0721F57C">
        <w:t>the spread</w:t>
      </w:r>
      <w:r w:rsidR="00E3108D">
        <w:t xml:space="preserve"> of illness and infections.  If you are in doubt about sending your child to school due to illness</w:t>
      </w:r>
      <w:r w:rsidR="0086EA59">
        <w:t>, keep your child at</w:t>
      </w:r>
      <w:r w:rsidR="00E3108D">
        <w:t xml:space="preserve"> home and consult your child’s primary care physician.</w:t>
      </w:r>
    </w:p>
    <w:p w14:paraId="39258C96" w14:textId="77777777" w:rsidR="00E3108D" w:rsidRPr="000636F6" w:rsidRDefault="00E3108D" w:rsidP="000636F6">
      <w:pPr>
        <w:spacing w:after="0"/>
      </w:pPr>
    </w:p>
    <w:p w14:paraId="708F2278" w14:textId="77777777" w:rsidR="00A072FB" w:rsidRPr="00A072FB" w:rsidRDefault="00A072FB" w:rsidP="00A072FB">
      <w:pPr>
        <w:spacing w:after="0" w:line="240" w:lineRule="auto"/>
        <w:rPr>
          <w:rFonts w:eastAsia="Times New Roman" w:cstheme="minorHAnsi"/>
        </w:rPr>
      </w:pPr>
      <w:r w:rsidRPr="00A072FB">
        <w:rPr>
          <w:rFonts w:eastAsia="Times New Roman" w:cstheme="minorHAnsi"/>
          <w:b/>
        </w:rPr>
        <w:t xml:space="preserve">Fever:  </w:t>
      </w:r>
      <w:r w:rsidRPr="00A072FB">
        <w:rPr>
          <w:rFonts w:eastAsia="Times New Roman" w:cstheme="minorHAnsi"/>
        </w:rPr>
        <w:t xml:space="preserve">If a child’s temperature is 100 degrees or greater, he/she should remain home until he/she has been without fever </w:t>
      </w:r>
      <w:bookmarkStart w:id="1" w:name="_Hlk169863860"/>
      <w:r w:rsidRPr="00A072FB">
        <w:rPr>
          <w:rFonts w:eastAsia="Times New Roman" w:cstheme="minorHAnsi"/>
        </w:rPr>
        <w:t xml:space="preserve">(without the use of fever reducing medications) </w:t>
      </w:r>
      <w:bookmarkEnd w:id="1"/>
      <w:r w:rsidRPr="00A072FB">
        <w:rPr>
          <w:rFonts w:eastAsia="Times New Roman" w:cstheme="minorHAnsi"/>
        </w:rPr>
        <w:t>for a full 24 hours.  Remember that fever is a symptom indicating the presence of an illness.</w:t>
      </w:r>
    </w:p>
    <w:p w14:paraId="3E2A367A" w14:textId="77777777" w:rsidR="00A072FB" w:rsidRPr="00A072FB" w:rsidRDefault="00A072FB" w:rsidP="00A072FB">
      <w:pPr>
        <w:spacing w:after="0" w:line="240" w:lineRule="auto"/>
        <w:rPr>
          <w:rFonts w:eastAsia="Times New Roman" w:cstheme="minorHAnsi"/>
        </w:rPr>
      </w:pPr>
    </w:p>
    <w:p w14:paraId="7478BAE9" w14:textId="77777777" w:rsidR="00A072FB" w:rsidRPr="00A072FB" w:rsidRDefault="00A072FB" w:rsidP="00A072FB">
      <w:pPr>
        <w:spacing w:after="0" w:line="240" w:lineRule="auto"/>
        <w:rPr>
          <w:rFonts w:eastAsia="Times New Roman" w:cstheme="minorHAnsi"/>
        </w:rPr>
      </w:pPr>
      <w:r w:rsidRPr="00A072FB">
        <w:rPr>
          <w:rFonts w:eastAsia="Times New Roman" w:cstheme="minorHAnsi"/>
          <w:b/>
        </w:rPr>
        <w:t>Flu:</w:t>
      </w:r>
      <w:r w:rsidRPr="00A072FB">
        <w:rPr>
          <w:rFonts w:eastAsia="Times New Roman" w:cstheme="minorHAnsi"/>
        </w:rPr>
        <w:t xml:space="preserve">  Symptoms include abrupt onset of fever, chills, headache, and sore muscles.  Runny nose, sore throat, and cough are common.  Your child should remain home from school until symptoms are gone and the child is without fever for a full 24 hours (without the use of fever reducing medications).</w:t>
      </w:r>
    </w:p>
    <w:p w14:paraId="56A77F9E" w14:textId="77777777" w:rsidR="00A072FB" w:rsidRPr="00A072FB" w:rsidRDefault="00A072FB" w:rsidP="00A072FB">
      <w:pPr>
        <w:spacing w:after="0" w:line="240" w:lineRule="auto"/>
        <w:rPr>
          <w:rFonts w:eastAsia="Times New Roman" w:cstheme="minorHAnsi"/>
        </w:rPr>
      </w:pPr>
    </w:p>
    <w:p w14:paraId="72D7BDB7" w14:textId="77777777" w:rsidR="00A072FB" w:rsidRPr="00A072FB" w:rsidRDefault="00A072FB" w:rsidP="00A072FB">
      <w:pPr>
        <w:shd w:val="clear" w:color="auto" w:fill="FFFFFF"/>
        <w:spacing w:after="0" w:line="240" w:lineRule="auto"/>
        <w:rPr>
          <w:rFonts w:eastAsia="Times New Roman" w:cstheme="minorHAnsi"/>
        </w:rPr>
      </w:pPr>
      <w:r w:rsidRPr="00A072FB">
        <w:rPr>
          <w:rFonts w:eastAsia="Times New Roman" w:cstheme="minorHAnsi"/>
          <w:b/>
        </w:rPr>
        <w:t xml:space="preserve">COVID: </w:t>
      </w:r>
      <w:r w:rsidRPr="00A072FB">
        <w:rPr>
          <w:rFonts w:eastAsia="Times New Roman" w:cstheme="minorHAnsi"/>
        </w:rPr>
        <w:t>Symptoms include fever/chills, cough, shortness of breath, fatigue, muscle/body aches, headache, loss of taste and/or smell, sore throat, congestion/runny nose, nausea/vomiting or diarrhea.</w:t>
      </w:r>
    </w:p>
    <w:p w14:paraId="59961635" w14:textId="77777777" w:rsidR="00A072FB" w:rsidRPr="00A072FB" w:rsidRDefault="00A072FB" w:rsidP="00A072FB">
      <w:pPr>
        <w:shd w:val="clear" w:color="auto" w:fill="FFFFFF"/>
        <w:spacing w:after="0" w:line="240" w:lineRule="auto"/>
        <w:rPr>
          <w:rFonts w:eastAsia="Times New Roman" w:cstheme="minorHAnsi"/>
        </w:rPr>
      </w:pPr>
      <w:r w:rsidRPr="00A072FB">
        <w:rPr>
          <w:rFonts w:eastAsia="Times New Roman" w:cstheme="minorHAnsi"/>
        </w:rPr>
        <w:t>Your child should remain home from school and follow the current guidance for COVID and consult with your child’s medical provider.</w:t>
      </w:r>
    </w:p>
    <w:p w14:paraId="6DDECB7D" w14:textId="77777777" w:rsidR="00A072FB" w:rsidRPr="00A072FB" w:rsidRDefault="00A072FB" w:rsidP="00A072FB">
      <w:pPr>
        <w:spacing w:after="0" w:line="240" w:lineRule="auto"/>
        <w:rPr>
          <w:rFonts w:eastAsia="Times New Roman" w:cstheme="minorHAnsi"/>
        </w:rPr>
      </w:pPr>
    </w:p>
    <w:p w14:paraId="17316B41" w14:textId="50364E03" w:rsidR="00A072FB" w:rsidRPr="00A072FB" w:rsidRDefault="00A072FB" w:rsidP="5C0D8BAA">
      <w:pPr>
        <w:spacing w:after="0" w:line="240" w:lineRule="auto"/>
        <w:rPr>
          <w:rFonts w:eastAsia="Times New Roman"/>
        </w:rPr>
      </w:pPr>
      <w:r w:rsidRPr="5C0D8BAA">
        <w:rPr>
          <w:rFonts w:eastAsia="Times New Roman"/>
          <w:b/>
          <w:bCs/>
        </w:rPr>
        <w:t>Head Lice:</w:t>
      </w:r>
      <w:r w:rsidRPr="5C0D8BAA">
        <w:rPr>
          <w:rFonts w:eastAsia="Times New Roman"/>
        </w:rPr>
        <w:t xml:space="preserve">  Lice are small grayish</w:t>
      </w:r>
      <w:r w:rsidR="7A2053F4" w:rsidRPr="5C0D8BAA">
        <w:rPr>
          <w:rFonts w:eastAsia="Times New Roman"/>
        </w:rPr>
        <w:t>-</w:t>
      </w:r>
      <w:r w:rsidRPr="5C0D8BAA">
        <w:rPr>
          <w:rFonts w:eastAsia="Times New Roman"/>
        </w:rPr>
        <w:t xml:space="preserve">tan, wingless insects that lay eggs called nits. Nits firmly attach to the hair shaft, close to the scalp. Nits are much easier to see and detect than lice are. They are small white specks, which are usually found at the nape of the neck and behind the ears. </w:t>
      </w:r>
    </w:p>
    <w:p w14:paraId="5DEC655E" w14:textId="77777777" w:rsidR="00A072FB" w:rsidRPr="00A072FB" w:rsidRDefault="00A072FB" w:rsidP="00A072FB">
      <w:pPr>
        <w:numPr>
          <w:ilvl w:val="0"/>
          <w:numId w:val="2"/>
        </w:numPr>
        <w:spacing w:after="0" w:line="240" w:lineRule="auto"/>
        <w:rPr>
          <w:rFonts w:eastAsia="Times New Roman" w:cstheme="minorHAnsi"/>
        </w:rPr>
      </w:pPr>
      <w:r w:rsidRPr="00A072FB">
        <w:rPr>
          <w:rFonts w:eastAsia="Times New Roman" w:cstheme="minorHAnsi"/>
        </w:rPr>
        <w:t xml:space="preserve">Children found with live head lice should remain in class, but be discouraged from close direct head contact with others.  The school nurse should contact the parents to discuss treating the child at the conclusion of the school day (Frankowski &amp; Bocchini, 2010.)  Students with nits only should not be excluded from school (American School Health Association, 2005, Frankowski &amp; Bocchini, 2010, Pollack, Kiszewski &amp; Spielman 2000), although further monitoring for sign of re-infestation is appropriate.  </w:t>
      </w:r>
    </w:p>
    <w:p w14:paraId="50F9AF4C" w14:textId="77777777" w:rsidR="00A072FB" w:rsidRPr="00A072FB" w:rsidRDefault="00A072FB" w:rsidP="00A072FB">
      <w:pPr>
        <w:spacing w:after="0" w:line="240" w:lineRule="auto"/>
        <w:rPr>
          <w:rFonts w:eastAsia="Times New Roman" w:cstheme="minorHAnsi"/>
          <w:b/>
        </w:rPr>
      </w:pPr>
      <w:r w:rsidRPr="00A072FB">
        <w:rPr>
          <w:rFonts w:eastAsia="Times New Roman" w:cstheme="minorHAnsi"/>
          <w:b/>
        </w:rPr>
        <w:t>In some cases over the counter treatments fail to eliminate live lice.  Your child’s physician may then order a prescription for the treatment of head lice.</w:t>
      </w:r>
    </w:p>
    <w:p w14:paraId="15C6E2E2" w14:textId="77777777" w:rsidR="00A072FB" w:rsidRPr="00A072FB" w:rsidRDefault="00A072FB" w:rsidP="00A072FB">
      <w:pPr>
        <w:spacing w:after="0" w:line="240" w:lineRule="auto"/>
        <w:rPr>
          <w:rFonts w:eastAsia="Times New Roman" w:cstheme="minorHAnsi"/>
          <w:b/>
        </w:rPr>
      </w:pPr>
    </w:p>
    <w:p w14:paraId="09FABDA3" w14:textId="77777777" w:rsidR="00A072FB" w:rsidRPr="00A072FB" w:rsidRDefault="00A072FB" w:rsidP="00A072FB">
      <w:pPr>
        <w:spacing w:after="0" w:line="240" w:lineRule="auto"/>
        <w:rPr>
          <w:rFonts w:eastAsia="Times New Roman" w:cstheme="minorHAnsi"/>
        </w:rPr>
      </w:pPr>
      <w:r w:rsidRPr="00A072FB">
        <w:rPr>
          <w:rFonts w:eastAsia="Times New Roman" w:cstheme="minorHAnsi"/>
          <w:b/>
        </w:rPr>
        <w:t xml:space="preserve">Pinkeye:  </w:t>
      </w:r>
      <w:r w:rsidRPr="00A072FB">
        <w:rPr>
          <w:rFonts w:eastAsia="Times New Roman" w:cstheme="minorHAnsi"/>
        </w:rPr>
        <w:t>Pinkeye is characterized by redness and swelling of the membranes of the eye with burning or itching, discharge coming from one or both eyes, or hardened discharge on the eyelids.  Your child should remain home from school until receiving full 24 hours of antibiotic therapy.</w:t>
      </w:r>
    </w:p>
    <w:p w14:paraId="7349DF44" w14:textId="77777777" w:rsidR="00A072FB" w:rsidRPr="00A072FB" w:rsidRDefault="00A072FB" w:rsidP="00A072FB">
      <w:pPr>
        <w:spacing w:after="0" w:line="240" w:lineRule="auto"/>
        <w:rPr>
          <w:rFonts w:eastAsia="Times New Roman" w:cstheme="minorHAnsi"/>
        </w:rPr>
      </w:pPr>
    </w:p>
    <w:p w14:paraId="740737B9" w14:textId="2325480B" w:rsidR="00A072FB" w:rsidRPr="00A072FB" w:rsidRDefault="00A072FB" w:rsidP="5C0D8BAA">
      <w:pPr>
        <w:spacing w:after="0" w:line="240" w:lineRule="auto"/>
        <w:rPr>
          <w:rFonts w:eastAsia="Times New Roman"/>
        </w:rPr>
      </w:pPr>
      <w:r w:rsidRPr="5C0D8BAA">
        <w:rPr>
          <w:rFonts w:eastAsia="Times New Roman"/>
          <w:b/>
          <w:bCs/>
        </w:rPr>
        <w:t>Strep Throat:</w:t>
      </w:r>
      <w:r w:rsidRPr="5C0D8BAA">
        <w:rPr>
          <w:rFonts w:eastAsia="Times New Roman"/>
        </w:rPr>
        <w:t xml:space="preserve">  This normally begins with a fever, sore and red throat, pus spots o</w:t>
      </w:r>
      <w:r w:rsidR="29500FDB" w:rsidRPr="5C0D8BAA">
        <w:rPr>
          <w:rFonts w:eastAsia="Times New Roman"/>
        </w:rPr>
        <w:t>n the</w:t>
      </w:r>
      <w:r w:rsidRPr="5C0D8BAA">
        <w:rPr>
          <w:rFonts w:eastAsia="Times New Roman"/>
        </w:rPr>
        <w:t xml:space="preserve"> back of throat, and tender</w:t>
      </w:r>
      <w:r w:rsidR="49FD9D42" w:rsidRPr="5C0D8BAA">
        <w:rPr>
          <w:rFonts w:eastAsia="Times New Roman"/>
        </w:rPr>
        <w:t xml:space="preserve">, </w:t>
      </w:r>
      <w:r w:rsidRPr="5C0D8BAA">
        <w:rPr>
          <w:rFonts w:eastAsia="Times New Roman"/>
        </w:rPr>
        <w:t>swollen glands of the neck.  High fever, nausea and vomiting may occur.  Your child should remain home from school until receiving 24 hours of antibiotic therapy and</w:t>
      </w:r>
      <w:r w:rsidR="00AB22A2">
        <w:rPr>
          <w:rFonts w:eastAsia="Times New Roman"/>
        </w:rPr>
        <w:t xml:space="preserve"> is</w:t>
      </w:r>
      <w:r w:rsidRPr="5C0D8BAA">
        <w:rPr>
          <w:rFonts w:eastAsia="Times New Roman"/>
        </w:rPr>
        <w:t xml:space="preserve"> without fever</w:t>
      </w:r>
      <w:r w:rsidR="000756BD">
        <w:rPr>
          <w:rFonts w:eastAsia="Times New Roman"/>
        </w:rPr>
        <w:t xml:space="preserve"> </w:t>
      </w:r>
      <w:r w:rsidR="000756BD" w:rsidRPr="00A072FB">
        <w:rPr>
          <w:rFonts w:eastAsia="Times New Roman" w:cstheme="minorHAnsi"/>
        </w:rPr>
        <w:t xml:space="preserve">(without the use of fever reducing medications) </w:t>
      </w:r>
      <w:r w:rsidR="00EE0497">
        <w:rPr>
          <w:rFonts w:eastAsia="Times New Roman" w:cstheme="minorHAnsi"/>
        </w:rPr>
        <w:t xml:space="preserve">and without </w:t>
      </w:r>
      <w:r w:rsidRPr="5C0D8BAA">
        <w:rPr>
          <w:rFonts w:eastAsia="Times New Roman"/>
        </w:rPr>
        <w:t>vomiting for 24 hours.</w:t>
      </w:r>
    </w:p>
    <w:p w14:paraId="53F1B682" w14:textId="77777777" w:rsidR="00A072FB" w:rsidRPr="00A072FB" w:rsidRDefault="00A072FB" w:rsidP="00A072FB">
      <w:pPr>
        <w:spacing w:after="0" w:line="240" w:lineRule="auto"/>
        <w:rPr>
          <w:rFonts w:eastAsia="Times New Roman" w:cstheme="minorHAnsi"/>
        </w:rPr>
      </w:pPr>
    </w:p>
    <w:p w14:paraId="7AF36E44" w14:textId="77777777" w:rsidR="00A072FB" w:rsidRPr="00A072FB" w:rsidRDefault="00A072FB" w:rsidP="00A072FB">
      <w:pPr>
        <w:spacing w:after="0" w:line="240" w:lineRule="auto"/>
        <w:rPr>
          <w:rFonts w:eastAsia="Times New Roman" w:cstheme="minorHAnsi"/>
        </w:rPr>
      </w:pPr>
      <w:r w:rsidRPr="00A072FB">
        <w:rPr>
          <w:rFonts w:eastAsia="Times New Roman" w:cstheme="minorHAnsi"/>
          <w:b/>
        </w:rPr>
        <w:t xml:space="preserve">Vomiting and Diarrhea:  </w:t>
      </w:r>
      <w:r w:rsidRPr="00A072FB">
        <w:rPr>
          <w:rFonts w:eastAsia="Times New Roman" w:cstheme="minorHAnsi"/>
        </w:rPr>
        <w:t>This is characterized by a stomach ache, cramping, nausea, vomiting, and/or diarrhea, possible fever, headache, and body aches.  Your child should remain at home until the symptoms have stopped for a full 24 hours.  If your child has had any of these symptoms during the night, he/she should not be sent to school the following day.</w:t>
      </w:r>
    </w:p>
    <w:p w14:paraId="67DA2D1F" w14:textId="77777777" w:rsidR="00A072FB" w:rsidRPr="00A072FB" w:rsidRDefault="00A072FB" w:rsidP="00A072FB">
      <w:pPr>
        <w:spacing w:after="0" w:line="240" w:lineRule="auto"/>
        <w:rPr>
          <w:rFonts w:eastAsia="Times New Roman" w:cstheme="minorHAnsi"/>
        </w:rPr>
      </w:pPr>
    </w:p>
    <w:p w14:paraId="3801F95F" w14:textId="77777777" w:rsidR="00A072FB" w:rsidRPr="00A072FB" w:rsidRDefault="00A072FB" w:rsidP="00A072FB">
      <w:pPr>
        <w:spacing w:after="0"/>
        <w:rPr>
          <w:rFonts w:cstheme="minorHAnsi"/>
        </w:rPr>
      </w:pPr>
      <w:r w:rsidRPr="00A072FB">
        <w:rPr>
          <w:rFonts w:eastAsia="Times New Roman" w:cstheme="minorHAnsi"/>
        </w:rPr>
        <w:t>These guidelines are in place to prevent spread of illness and infections.</w:t>
      </w:r>
    </w:p>
    <w:p w14:paraId="3EC875B2" w14:textId="77777777" w:rsidR="00A072FB" w:rsidRPr="00A072FB" w:rsidRDefault="00A072FB" w:rsidP="00A072FB">
      <w:pPr>
        <w:spacing w:after="0"/>
        <w:jc w:val="center"/>
        <w:rPr>
          <w:rFonts w:cstheme="minorHAnsi"/>
          <w:b/>
        </w:rPr>
      </w:pPr>
    </w:p>
    <w:sectPr w:rsidR="00A072FB" w:rsidRPr="00A072FB" w:rsidSect="00700CE6">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2dnuIQ1j" int2:invalidationBookmarkName="" int2:hashCode="fUJ4qHWQD/1/Yh" int2:id="3DHErT7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361"/>
    <w:multiLevelType w:val="hybridMultilevel"/>
    <w:tmpl w:val="A072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02954"/>
    <w:multiLevelType w:val="hybridMultilevel"/>
    <w:tmpl w:val="012680B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EB"/>
    <w:rsid w:val="000636F6"/>
    <w:rsid w:val="000756BD"/>
    <w:rsid w:val="001022DD"/>
    <w:rsid w:val="00151249"/>
    <w:rsid w:val="001537EB"/>
    <w:rsid w:val="001A130C"/>
    <w:rsid w:val="001F3D5E"/>
    <w:rsid w:val="003C08ED"/>
    <w:rsid w:val="00443F4E"/>
    <w:rsid w:val="00470DDE"/>
    <w:rsid w:val="004F5921"/>
    <w:rsid w:val="00580654"/>
    <w:rsid w:val="00600509"/>
    <w:rsid w:val="00686D29"/>
    <w:rsid w:val="006B46AC"/>
    <w:rsid w:val="00700CE6"/>
    <w:rsid w:val="007248A0"/>
    <w:rsid w:val="007419EB"/>
    <w:rsid w:val="0086EA59"/>
    <w:rsid w:val="008B0B26"/>
    <w:rsid w:val="00A072FB"/>
    <w:rsid w:val="00A16E68"/>
    <w:rsid w:val="00A6052D"/>
    <w:rsid w:val="00AB22A2"/>
    <w:rsid w:val="00BB334D"/>
    <w:rsid w:val="00C10372"/>
    <w:rsid w:val="00C5136E"/>
    <w:rsid w:val="00E3108D"/>
    <w:rsid w:val="00EE0497"/>
    <w:rsid w:val="00F470B6"/>
    <w:rsid w:val="00F51929"/>
    <w:rsid w:val="00F82AEF"/>
    <w:rsid w:val="01B83DFC"/>
    <w:rsid w:val="01CEB69B"/>
    <w:rsid w:val="02746757"/>
    <w:rsid w:val="028FEC66"/>
    <w:rsid w:val="033D1FF6"/>
    <w:rsid w:val="036A86FC"/>
    <w:rsid w:val="037055B7"/>
    <w:rsid w:val="03839E6C"/>
    <w:rsid w:val="03D08270"/>
    <w:rsid w:val="03E5C0AE"/>
    <w:rsid w:val="04BD23C5"/>
    <w:rsid w:val="0519736E"/>
    <w:rsid w:val="0525BE60"/>
    <w:rsid w:val="06B06F0A"/>
    <w:rsid w:val="06B563E7"/>
    <w:rsid w:val="06BB501B"/>
    <w:rsid w:val="06CF6A1F"/>
    <w:rsid w:val="06DCD496"/>
    <w:rsid w:val="0721F57C"/>
    <w:rsid w:val="0813587D"/>
    <w:rsid w:val="0857207C"/>
    <w:rsid w:val="08BB5B53"/>
    <w:rsid w:val="09522DEA"/>
    <w:rsid w:val="0A6C365D"/>
    <w:rsid w:val="0B7C10E2"/>
    <w:rsid w:val="0C02A355"/>
    <w:rsid w:val="0C3E2F30"/>
    <w:rsid w:val="0F691D09"/>
    <w:rsid w:val="0F839C2E"/>
    <w:rsid w:val="0FC16F6E"/>
    <w:rsid w:val="10B90603"/>
    <w:rsid w:val="11D8CAD5"/>
    <w:rsid w:val="1244DF48"/>
    <w:rsid w:val="12729C59"/>
    <w:rsid w:val="1273F5ED"/>
    <w:rsid w:val="13ADED27"/>
    <w:rsid w:val="140DA205"/>
    <w:rsid w:val="148B05B4"/>
    <w:rsid w:val="14B365C3"/>
    <w:rsid w:val="1568A680"/>
    <w:rsid w:val="15E5A844"/>
    <w:rsid w:val="165BA14C"/>
    <w:rsid w:val="17768D2B"/>
    <w:rsid w:val="18541BE9"/>
    <w:rsid w:val="1925B0ED"/>
    <w:rsid w:val="197A0D3F"/>
    <w:rsid w:val="19884659"/>
    <w:rsid w:val="1B93AA31"/>
    <w:rsid w:val="1BFCC70B"/>
    <w:rsid w:val="1CA511C9"/>
    <w:rsid w:val="1CA63BE4"/>
    <w:rsid w:val="1D278D0C"/>
    <w:rsid w:val="1D2F7A92"/>
    <w:rsid w:val="1E7E347D"/>
    <w:rsid w:val="1EEC7F6E"/>
    <w:rsid w:val="1F841866"/>
    <w:rsid w:val="1FA1056C"/>
    <w:rsid w:val="21FAFE2F"/>
    <w:rsid w:val="2202EBB5"/>
    <w:rsid w:val="2317D8FE"/>
    <w:rsid w:val="2391046A"/>
    <w:rsid w:val="23AFBCCD"/>
    <w:rsid w:val="23BAB804"/>
    <w:rsid w:val="253286E4"/>
    <w:rsid w:val="25460621"/>
    <w:rsid w:val="254D0EDD"/>
    <w:rsid w:val="255E0512"/>
    <w:rsid w:val="25E299E5"/>
    <w:rsid w:val="26151CBD"/>
    <w:rsid w:val="27BD23EC"/>
    <w:rsid w:val="285054BB"/>
    <w:rsid w:val="28FD6FA4"/>
    <w:rsid w:val="29500FDB"/>
    <w:rsid w:val="296EC2AB"/>
    <w:rsid w:val="29A91520"/>
    <w:rsid w:val="29DBDBBB"/>
    <w:rsid w:val="2A1778BA"/>
    <w:rsid w:val="2A427F48"/>
    <w:rsid w:val="2AB87850"/>
    <w:rsid w:val="2C513F4B"/>
    <w:rsid w:val="2D59B860"/>
    <w:rsid w:val="2D7CB378"/>
    <w:rsid w:val="2EF22EC2"/>
    <w:rsid w:val="2FA0B168"/>
    <w:rsid w:val="306416C1"/>
    <w:rsid w:val="31784C8C"/>
    <w:rsid w:val="31E8A9BA"/>
    <w:rsid w:val="333EE4C8"/>
    <w:rsid w:val="33DD000E"/>
    <w:rsid w:val="33E5677B"/>
    <w:rsid w:val="349BA6F4"/>
    <w:rsid w:val="34F3B54D"/>
    <w:rsid w:val="360F0389"/>
    <w:rsid w:val="36A03CD9"/>
    <w:rsid w:val="36D35845"/>
    <w:rsid w:val="38407BA5"/>
    <w:rsid w:val="38CBDE25"/>
    <w:rsid w:val="3A124382"/>
    <w:rsid w:val="3AF6B142"/>
    <w:rsid w:val="3B5AA27F"/>
    <w:rsid w:val="3B908E7A"/>
    <w:rsid w:val="3DF2E37D"/>
    <w:rsid w:val="3E22F611"/>
    <w:rsid w:val="3EB5D682"/>
    <w:rsid w:val="4227E3F5"/>
    <w:rsid w:val="4304BF86"/>
    <w:rsid w:val="431A8DE4"/>
    <w:rsid w:val="437DAFF6"/>
    <w:rsid w:val="4411AAD6"/>
    <w:rsid w:val="448D0F30"/>
    <w:rsid w:val="44A08FE7"/>
    <w:rsid w:val="4515642A"/>
    <w:rsid w:val="461F0BBF"/>
    <w:rsid w:val="474767A5"/>
    <w:rsid w:val="47A50632"/>
    <w:rsid w:val="47B5A4F0"/>
    <w:rsid w:val="47CB99C7"/>
    <w:rsid w:val="4828517C"/>
    <w:rsid w:val="484192CF"/>
    <w:rsid w:val="48E51BF9"/>
    <w:rsid w:val="48FD4303"/>
    <w:rsid w:val="49FD9D42"/>
    <w:rsid w:val="4A832E15"/>
    <w:rsid w:val="4A9B3ABD"/>
    <w:rsid w:val="4B6DC174"/>
    <w:rsid w:val="4BEF7A5A"/>
    <w:rsid w:val="4D9F64BF"/>
    <w:rsid w:val="4E1C3B54"/>
    <w:rsid w:val="4E4C8086"/>
    <w:rsid w:val="4E94C9ED"/>
    <w:rsid w:val="4F545D7D"/>
    <w:rsid w:val="4FB39BBE"/>
    <w:rsid w:val="501E41C0"/>
    <w:rsid w:val="50336361"/>
    <w:rsid w:val="5158C0B4"/>
    <w:rsid w:val="525EBBDE"/>
    <w:rsid w:val="528BFE3F"/>
    <w:rsid w:val="533861E9"/>
    <w:rsid w:val="53731B2D"/>
    <w:rsid w:val="5391C0FC"/>
    <w:rsid w:val="53CF10BB"/>
    <w:rsid w:val="53FCAE1E"/>
    <w:rsid w:val="55965CA0"/>
    <w:rsid w:val="55C39F01"/>
    <w:rsid w:val="56ACC3FE"/>
    <w:rsid w:val="572ACE3B"/>
    <w:rsid w:val="57464705"/>
    <w:rsid w:val="58FB3FC3"/>
    <w:rsid w:val="59323839"/>
    <w:rsid w:val="59F6EB09"/>
    <w:rsid w:val="5A35A71F"/>
    <w:rsid w:val="5AE4885E"/>
    <w:rsid w:val="5B4B2115"/>
    <w:rsid w:val="5C0D8BAA"/>
    <w:rsid w:val="5D05D691"/>
    <w:rsid w:val="5F6363E9"/>
    <w:rsid w:val="60B78C4F"/>
    <w:rsid w:val="613BBE71"/>
    <w:rsid w:val="6173BE58"/>
    <w:rsid w:val="6223E663"/>
    <w:rsid w:val="6697521B"/>
    <w:rsid w:val="670F0608"/>
    <w:rsid w:val="6A7FF18D"/>
    <w:rsid w:val="6B1967F4"/>
    <w:rsid w:val="6BE40443"/>
    <w:rsid w:val="6C6EC1EE"/>
    <w:rsid w:val="6E0FBD4E"/>
    <w:rsid w:val="6F6C103B"/>
    <w:rsid w:val="6FFFE117"/>
    <w:rsid w:val="707E3ABF"/>
    <w:rsid w:val="70D67F88"/>
    <w:rsid w:val="7206AD62"/>
    <w:rsid w:val="72A3B0FD"/>
    <w:rsid w:val="7479D3D3"/>
    <w:rsid w:val="74C1A65B"/>
    <w:rsid w:val="74C38085"/>
    <w:rsid w:val="7515886D"/>
    <w:rsid w:val="7700E13C"/>
    <w:rsid w:val="78DAB8F1"/>
    <w:rsid w:val="7A2053F4"/>
    <w:rsid w:val="7AD517F9"/>
    <w:rsid w:val="7AE74EEB"/>
    <w:rsid w:val="7B1BC72D"/>
    <w:rsid w:val="7C20AAE1"/>
    <w:rsid w:val="7C4192FD"/>
    <w:rsid w:val="7C47BDC6"/>
    <w:rsid w:val="7CD8F7AF"/>
    <w:rsid w:val="7D6826FE"/>
    <w:rsid w:val="7DAE3105"/>
    <w:rsid w:val="7DE41F52"/>
    <w:rsid w:val="7E078DBC"/>
    <w:rsid w:val="7E344696"/>
    <w:rsid w:val="7EB03E35"/>
    <w:rsid w:val="7F67EA04"/>
    <w:rsid w:val="7F7DB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CB91"/>
  <w15:chartTrackingRefBased/>
  <w15:docId w15:val="{A7C3317A-1F68-4DA1-BE01-DF2E6B66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249"/>
    <w:rPr>
      <w:color w:val="0563C1" w:themeColor="hyperlink"/>
      <w:u w:val="single"/>
    </w:rPr>
  </w:style>
  <w:style w:type="character" w:styleId="UnresolvedMention">
    <w:name w:val="Unresolved Mention"/>
    <w:basedOn w:val="DefaultParagraphFont"/>
    <w:uiPriority w:val="99"/>
    <w:semiHidden/>
    <w:unhideWhenUsed/>
    <w:rsid w:val="00151249"/>
    <w:rPr>
      <w:color w:val="605E5C"/>
      <w:shd w:val="clear" w:color="auto" w:fill="E1DFDD"/>
    </w:rPr>
  </w:style>
  <w:style w:type="table" w:styleId="TableGrid">
    <w:name w:val="Table Grid"/>
    <w:basedOn w:val="TableNormal"/>
    <w:uiPriority w:val="39"/>
    <w:rsid w:val="00102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D29"/>
    <w:pPr>
      <w:ind w:left="720"/>
      <w:contextualSpacing/>
    </w:pPr>
  </w:style>
  <w:style w:type="character" w:styleId="CommentReference">
    <w:name w:val="annotation reference"/>
    <w:basedOn w:val="DefaultParagraphFont"/>
    <w:uiPriority w:val="99"/>
    <w:semiHidden/>
    <w:unhideWhenUsed/>
    <w:rsid w:val="00A6052D"/>
    <w:rPr>
      <w:sz w:val="16"/>
      <w:szCs w:val="16"/>
    </w:rPr>
  </w:style>
  <w:style w:type="paragraph" w:styleId="CommentText">
    <w:name w:val="annotation text"/>
    <w:basedOn w:val="Normal"/>
    <w:link w:val="CommentTextChar"/>
    <w:uiPriority w:val="99"/>
    <w:semiHidden/>
    <w:unhideWhenUsed/>
    <w:rsid w:val="00A6052D"/>
    <w:pPr>
      <w:spacing w:line="240" w:lineRule="auto"/>
    </w:pPr>
    <w:rPr>
      <w:sz w:val="20"/>
      <w:szCs w:val="20"/>
    </w:rPr>
  </w:style>
  <w:style w:type="character" w:customStyle="1" w:styleId="CommentTextChar">
    <w:name w:val="Comment Text Char"/>
    <w:basedOn w:val="DefaultParagraphFont"/>
    <w:link w:val="CommentText"/>
    <w:uiPriority w:val="99"/>
    <w:semiHidden/>
    <w:rsid w:val="00A6052D"/>
    <w:rPr>
      <w:sz w:val="20"/>
      <w:szCs w:val="20"/>
    </w:rPr>
  </w:style>
  <w:style w:type="paragraph" w:styleId="CommentSubject">
    <w:name w:val="annotation subject"/>
    <w:basedOn w:val="CommentText"/>
    <w:next w:val="CommentText"/>
    <w:link w:val="CommentSubjectChar"/>
    <w:uiPriority w:val="99"/>
    <w:semiHidden/>
    <w:unhideWhenUsed/>
    <w:rsid w:val="00A6052D"/>
    <w:rPr>
      <w:b/>
      <w:bCs/>
    </w:rPr>
  </w:style>
  <w:style w:type="character" w:customStyle="1" w:styleId="CommentSubjectChar">
    <w:name w:val="Comment Subject Char"/>
    <w:basedOn w:val="CommentTextChar"/>
    <w:link w:val="CommentSubject"/>
    <w:uiPriority w:val="99"/>
    <w:semiHidden/>
    <w:rsid w:val="00A6052D"/>
    <w:rPr>
      <w:b/>
      <w:bCs/>
      <w:sz w:val="20"/>
      <w:szCs w:val="20"/>
    </w:rPr>
  </w:style>
  <w:style w:type="paragraph" w:styleId="BalloonText">
    <w:name w:val="Balloon Text"/>
    <w:basedOn w:val="Normal"/>
    <w:link w:val="BalloonTextChar"/>
    <w:uiPriority w:val="99"/>
    <w:semiHidden/>
    <w:unhideWhenUsed/>
    <w:rsid w:val="00A60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5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eschools.org/site/handlers/filedownload.ashx?moduleinstanceid=382&amp;dataid=1276&amp;FileName=Parent%20and%20Physician%20Medication%20Authorization%20Form.pdf" TargetMode="External"/><Relationship Id="rId13" Type="http://schemas.openxmlformats.org/officeDocument/2006/relationships/hyperlink" Target="https://www.cdc.gov/vaccines/hcp/vis/vis-statements/mmr.html" TargetMode="External"/><Relationship Id="rId18" Type="http://schemas.openxmlformats.org/officeDocument/2006/relationships/hyperlink" Target="https://www.cdc.gov/vaccines/hcp/vis/vis-statements/tdap.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sheschools.org/site/handlers/filedownload.ashx?moduleinstanceid=382&amp;dataid=1278&amp;FileName=Medication%20Administration%20Procedure.pdf" TargetMode="External"/><Relationship Id="rId12" Type="http://schemas.openxmlformats.org/officeDocument/2006/relationships/hyperlink" Target="https://www.cdc.gov/vaccines/hcp/vis/vis-statements/ipv.html" TargetMode="External"/><Relationship Id="rId17" Type="http://schemas.openxmlformats.org/officeDocument/2006/relationships/hyperlink" Target="https://www.cdc.gov/vaccines/hcp/vis/vis-statements/pcv.html" TargetMode="External"/><Relationship Id="rId2" Type="http://schemas.openxmlformats.org/officeDocument/2006/relationships/styles" Target="styles.xml"/><Relationship Id="rId16" Type="http://schemas.openxmlformats.org/officeDocument/2006/relationships/hyperlink" Target="https://www.cdc.gov/vaccines/hcp/vis/vis-statements/hep-b.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sheschools.org/Page/180" TargetMode="External"/><Relationship Id="rId11" Type="http://schemas.openxmlformats.org/officeDocument/2006/relationships/hyperlink" Target="https://www.cdc.gov/vaccines/hcp/vis/vis-statements/dtap.html" TargetMode="External"/><Relationship Id="R735e6ad2602943ae" Type="http://schemas.microsoft.com/office/2020/10/relationships/intelligence" Target="intelligence2.xml"/><Relationship Id="rId5" Type="http://schemas.openxmlformats.org/officeDocument/2006/relationships/hyperlink" Target="https://www.asheschools.org/Page/172" TargetMode="External"/><Relationship Id="rId15" Type="http://schemas.openxmlformats.org/officeDocument/2006/relationships/hyperlink" Target="https://www.cdc.gov/vaccines/hcp/vis/vis-statements/hib.html" TargetMode="External"/><Relationship Id="rId10" Type="http://schemas.openxmlformats.org/officeDocument/2006/relationships/hyperlink" Target="https://www.asheschools.org/Page/174" TargetMode="External"/><Relationship Id="rId19" Type="http://schemas.openxmlformats.org/officeDocument/2006/relationships/hyperlink" Target="https://www.cdc.gov/vaccines/hcp/vis/vis-statements/mening.html" TargetMode="External"/><Relationship Id="rId4" Type="http://schemas.openxmlformats.org/officeDocument/2006/relationships/webSettings" Target="webSettings.xml"/><Relationship Id="rId9" Type="http://schemas.openxmlformats.org/officeDocument/2006/relationships/hyperlink" Target="https://immunization.dph.ncdhhs.gov/schools/k-12.htm" TargetMode="External"/><Relationship Id="rId14" Type="http://schemas.openxmlformats.org/officeDocument/2006/relationships/hyperlink" Target="https://www.cdc.gov/vaccines/hcp/vis/vis-statements/varicell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Perry</dc:creator>
  <cp:keywords/>
  <dc:description/>
  <cp:lastModifiedBy>Regan Perry</cp:lastModifiedBy>
  <cp:revision>15</cp:revision>
  <dcterms:created xsi:type="dcterms:W3CDTF">2024-02-27T16:48:00Z</dcterms:created>
  <dcterms:modified xsi:type="dcterms:W3CDTF">2024-06-21T16:05:00Z</dcterms:modified>
</cp:coreProperties>
</file>